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28"/>
        <w:gridCol w:w="5451"/>
      </w:tblGrid>
      <w:tr w:rsidR="00680EB7" w:rsidRPr="00680EB7" w:rsidTr="00680EB7">
        <w:trPr>
          <w:tblCellSpacing w:w="0" w:type="dxa"/>
        </w:trPr>
        <w:tc>
          <w:tcPr>
            <w:tcW w:w="3528" w:type="dxa"/>
            <w:shd w:val="clear" w:color="auto" w:fill="FFFFFF"/>
            <w:tcMar>
              <w:top w:w="0" w:type="dxa"/>
              <w:left w:w="108" w:type="dxa"/>
              <w:bottom w:w="0" w:type="dxa"/>
              <w:right w:w="108" w:type="dxa"/>
            </w:tcMar>
            <w:hideMark/>
          </w:tcPr>
          <w:p w:rsidR="00680EB7" w:rsidRPr="00680EB7" w:rsidRDefault="00680EB7" w:rsidP="00680EB7">
            <w:pPr>
              <w:spacing w:before="120" w:after="120" w:line="234" w:lineRule="atLeast"/>
              <w:jc w:val="center"/>
              <w:rPr>
                <w:rFonts w:ascii="Times New Roman" w:eastAsia="Times New Roman" w:hAnsi="Times New Roman" w:cs="Times New Roman"/>
                <w:color w:val="000000"/>
                <w:sz w:val="28"/>
                <w:szCs w:val="28"/>
              </w:rPr>
            </w:pPr>
            <w:r w:rsidRPr="00680EB7">
              <w:rPr>
                <w:rFonts w:ascii="Times New Roman" w:eastAsia="Times New Roman" w:hAnsi="Times New Roman" w:cs="Times New Roman"/>
                <w:b/>
                <w:bCs/>
                <w:color w:val="000000"/>
                <w:sz w:val="28"/>
                <w:szCs w:val="28"/>
              </w:rPr>
              <w:t>BỘ GIÁO DỤC VÀ ĐÀO TẠO - BỘ NỘI VỤ - BỘ TÀI CHÍNH</w:t>
            </w:r>
            <w:r w:rsidRPr="00680EB7">
              <w:rPr>
                <w:rFonts w:ascii="Times New Roman" w:eastAsia="Times New Roman" w:hAnsi="Times New Roman" w:cs="Times New Roman"/>
                <w:b/>
                <w:bCs/>
                <w:color w:val="000000"/>
                <w:sz w:val="28"/>
                <w:szCs w:val="28"/>
              </w:rPr>
              <w:br/>
              <w:t>--------</w:t>
            </w:r>
          </w:p>
        </w:tc>
        <w:tc>
          <w:tcPr>
            <w:tcW w:w="5451" w:type="dxa"/>
            <w:shd w:val="clear" w:color="auto" w:fill="FFFFFF"/>
            <w:tcMar>
              <w:top w:w="0" w:type="dxa"/>
              <w:left w:w="108" w:type="dxa"/>
              <w:bottom w:w="0" w:type="dxa"/>
              <w:right w:w="108" w:type="dxa"/>
            </w:tcMar>
            <w:hideMark/>
          </w:tcPr>
          <w:p w:rsidR="00680EB7" w:rsidRPr="00680EB7" w:rsidRDefault="00680EB7" w:rsidP="00680EB7">
            <w:pPr>
              <w:spacing w:before="120" w:after="120" w:line="234" w:lineRule="atLeast"/>
              <w:jc w:val="center"/>
              <w:rPr>
                <w:rFonts w:ascii="Times New Roman" w:eastAsia="Times New Roman" w:hAnsi="Times New Roman" w:cs="Times New Roman"/>
                <w:color w:val="000000"/>
                <w:sz w:val="28"/>
                <w:szCs w:val="28"/>
              </w:rPr>
            </w:pPr>
            <w:r w:rsidRPr="00680EB7">
              <w:rPr>
                <w:rFonts w:ascii="Times New Roman" w:eastAsia="Times New Roman" w:hAnsi="Times New Roman" w:cs="Times New Roman"/>
                <w:b/>
                <w:bCs/>
                <w:color w:val="000000"/>
                <w:sz w:val="28"/>
                <w:szCs w:val="28"/>
              </w:rPr>
              <w:t>CỘNG HÒA XÃ HỘI CHỦ NGHĨA VIỆT NAM</w:t>
            </w:r>
            <w:r w:rsidRPr="00680EB7">
              <w:rPr>
                <w:rFonts w:ascii="Times New Roman" w:eastAsia="Times New Roman" w:hAnsi="Times New Roman" w:cs="Times New Roman"/>
                <w:b/>
                <w:bCs/>
                <w:color w:val="000000"/>
                <w:sz w:val="28"/>
                <w:szCs w:val="28"/>
              </w:rPr>
              <w:br/>
              <w:t>Độc lập - Tự do - Hạnh phúc</w:t>
            </w:r>
            <w:r w:rsidRPr="00680EB7">
              <w:rPr>
                <w:rFonts w:ascii="Times New Roman" w:eastAsia="Times New Roman" w:hAnsi="Times New Roman" w:cs="Times New Roman"/>
                <w:b/>
                <w:bCs/>
                <w:color w:val="000000"/>
                <w:sz w:val="28"/>
                <w:szCs w:val="28"/>
              </w:rPr>
              <w:br/>
              <w:t>----------------</w:t>
            </w:r>
          </w:p>
        </w:tc>
      </w:tr>
      <w:tr w:rsidR="00680EB7" w:rsidRPr="00680EB7" w:rsidTr="00680EB7">
        <w:trPr>
          <w:tblCellSpacing w:w="0" w:type="dxa"/>
        </w:trPr>
        <w:tc>
          <w:tcPr>
            <w:tcW w:w="3528" w:type="dxa"/>
            <w:shd w:val="clear" w:color="auto" w:fill="FFFFFF"/>
            <w:tcMar>
              <w:top w:w="0" w:type="dxa"/>
              <w:left w:w="108" w:type="dxa"/>
              <w:bottom w:w="0" w:type="dxa"/>
              <w:right w:w="108" w:type="dxa"/>
            </w:tcMar>
            <w:hideMark/>
          </w:tcPr>
          <w:p w:rsidR="00680EB7" w:rsidRPr="00680EB7" w:rsidRDefault="00680EB7" w:rsidP="00680EB7">
            <w:pPr>
              <w:spacing w:before="120" w:after="120" w:line="234" w:lineRule="atLeast"/>
              <w:jc w:val="center"/>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rPr>
              <w:t>Số: 07/2013/TTLT-BGDĐT-BNV-BTC</w:t>
            </w:r>
          </w:p>
        </w:tc>
        <w:tc>
          <w:tcPr>
            <w:tcW w:w="5451" w:type="dxa"/>
            <w:shd w:val="clear" w:color="auto" w:fill="FFFFFF"/>
            <w:tcMar>
              <w:top w:w="0" w:type="dxa"/>
              <w:left w:w="108" w:type="dxa"/>
              <w:bottom w:w="0" w:type="dxa"/>
              <w:right w:w="108" w:type="dxa"/>
            </w:tcMar>
            <w:hideMark/>
          </w:tcPr>
          <w:p w:rsidR="00680EB7" w:rsidRPr="00680EB7" w:rsidRDefault="00680EB7" w:rsidP="00680EB7">
            <w:pPr>
              <w:spacing w:before="120" w:after="120" w:line="234" w:lineRule="atLeast"/>
              <w:jc w:val="right"/>
              <w:rPr>
                <w:rFonts w:ascii="Times New Roman" w:eastAsia="Times New Roman" w:hAnsi="Times New Roman" w:cs="Times New Roman"/>
                <w:color w:val="000000"/>
                <w:sz w:val="28"/>
                <w:szCs w:val="28"/>
              </w:rPr>
            </w:pPr>
            <w:r w:rsidRPr="00680EB7">
              <w:rPr>
                <w:rFonts w:ascii="Times New Roman" w:eastAsia="Times New Roman" w:hAnsi="Times New Roman" w:cs="Times New Roman"/>
                <w:i/>
                <w:iCs/>
                <w:color w:val="000000"/>
                <w:sz w:val="28"/>
                <w:szCs w:val="28"/>
              </w:rPr>
              <w:t>Hà Nội, ngày 08 tháng 03 năm 2013</w:t>
            </w:r>
          </w:p>
        </w:tc>
      </w:tr>
    </w:tbl>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 </w:t>
      </w:r>
    </w:p>
    <w:p w:rsidR="00680EB7" w:rsidRPr="00680EB7" w:rsidRDefault="00680EB7" w:rsidP="00680EB7">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680EB7">
        <w:rPr>
          <w:rFonts w:ascii="Times New Roman" w:eastAsia="Times New Roman" w:hAnsi="Times New Roman" w:cs="Times New Roman"/>
          <w:b/>
          <w:bCs/>
          <w:color w:val="000000"/>
          <w:sz w:val="28"/>
          <w:szCs w:val="28"/>
          <w:lang w:val="vi-VN"/>
        </w:rPr>
        <w:t>THÔNG TƯ LIÊN TỊCH</w:t>
      </w:r>
      <w:bookmarkEnd w:id="0"/>
    </w:p>
    <w:p w:rsidR="00680EB7" w:rsidRPr="00680EB7" w:rsidRDefault="00680EB7" w:rsidP="00680EB7">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680EB7">
        <w:rPr>
          <w:rFonts w:ascii="Times New Roman" w:eastAsia="Times New Roman" w:hAnsi="Times New Roman" w:cs="Times New Roman"/>
          <w:color w:val="000000"/>
          <w:sz w:val="28"/>
          <w:szCs w:val="28"/>
          <w:lang w:val="vi-VN"/>
        </w:rPr>
        <w:t>HƯỚNG DẪN THỰC HIỆN CHẾ ĐỘ TRẢ LƯƠNG DẠY THÊM GIỜ ĐỐI VỚI NHÀ GIÁO TRONG CÁC CƠ SỞ GIÁO DỤC CÔNG LẬP</w:t>
      </w:r>
      <w:bookmarkEnd w:id="1"/>
    </w:p>
    <w:p w:rsidR="00680EB7" w:rsidRPr="00680EB7" w:rsidRDefault="00680EB7" w:rsidP="00680EB7">
      <w:pPr>
        <w:shd w:val="clear" w:color="auto" w:fill="FFFFFF"/>
        <w:spacing w:after="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i/>
          <w:iCs/>
          <w:color w:val="000000"/>
          <w:sz w:val="28"/>
          <w:szCs w:val="28"/>
          <w:lang w:val="vi-VN"/>
        </w:rPr>
        <w:t>Căn cứ Nghị định số </w:t>
      </w:r>
      <w:r>
        <w:rPr>
          <w:rFonts w:ascii="Times New Roman" w:eastAsia="Times New Roman" w:hAnsi="Times New Roman" w:cs="Times New Roman"/>
          <w:i/>
          <w:iCs/>
          <w:color w:val="000000"/>
          <w:sz w:val="28"/>
          <w:szCs w:val="28"/>
        </w:rPr>
        <w:t xml:space="preserve">204/2004/NĐ-CP </w:t>
      </w:r>
      <w:r w:rsidRPr="00680EB7">
        <w:rPr>
          <w:rFonts w:ascii="Times New Roman" w:eastAsia="Times New Roman" w:hAnsi="Times New Roman" w:cs="Times New Roman"/>
          <w:i/>
          <w:iCs/>
          <w:color w:val="000000"/>
          <w:sz w:val="28"/>
          <w:szCs w:val="28"/>
          <w:lang w:val="vi-VN"/>
        </w:rPr>
        <w:t>ngày 14 tháng 12 năm 2004 của Chính phủ về chế độ tiền lương đối với cán bộ, công chức, viên chức và lực lượng vũ trang;</w:t>
      </w:r>
    </w:p>
    <w:p w:rsidR="00680EB7" w:rsidRPr="00680EB7" w:rsidRDefault="00680EB7" w:rsidP="00680EB7">
      <w:pPr>
        <w:shd w:val="clear" w:color="auto" w:fill="FFFFFF"/>
        <w:spacing w:after="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i/>
          <w:iCs/>
          <w:color w:val="000000"/>
          <w:sz w:val="28"/>
          <w:szCs w:val="28"/>
          <w:lang w:val="vi-VN"/>
        </w:rPr>
        <w:t>Căn cứ Nghị định số </w:t>
      </w:r>
      <w:r>
        <w:rPr>
          <w:rFonts w:ascii="Times New Roman" w:eastAsia="Times New Roman" w:hAnsi="Times New Roman" w:cs="Times New Roman"/>
          <w:i/>
          <w:iCs/>
          <w:color w:val="000000"/>
          <w:sz w:val="28"/>
          <w:szCs w:val="28"/>
        </w:rPr>
        <w:t xml:space="preserve">32/2008/NĐ-CP </w:t>
      </w:r>
      <w:r w:rsidRPr="00680EB7">
        <w:rPr>
          <w:rFonts w:ascii="Times New Roman" w:eastAsia="Times New Roman" w:hAnsi="Times New Roman" w:cs="Times New Roman"/>
          <w:i/>
          <w:iCs/>
          <w:color w:val="000000"/>
          <w:sz w:val="28"/>
          <w:szCs w:val="28"/>
          <w:lang w:val="vi-VN"/>
        </w:rPr>
        <w:t>ngày 19 tháng 3 năm 2008 của Chính phủ quy định chức năng, nhiệm vụ, quyền hạn và cơ cấu tổ chức của Bộ Giáo dục và Đào tạo;</w:t>
      </w:r>
    </w:p>
    <w:p w:rsidR="00680EB7" w:rsidRPr="00680EB7" w:rsidRDefault="00680EB7" w:rsidP="00680EB7">
      <w:pPr>
        <w:shd w:val="clear" w:color="auto" w:fill="FFFFFF"/>
        <w:spacing w:after="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i/>
          <w:iCs/>
          <w:color w:val="000000"/>
          <w:sz w:val="28"/>
          <w:szCs w:val="28"/>
          <w:lang w:val="vi-VN"/>
        </w:rPr>
        <w:t>Căn cứ Nghị định số </w:t>
      </w:r>
      <w:r>
        <w:rPr>
          <w:rFonts w:ascii="Times New Roman" w:eastAsia="Times New Roman" w:hAnsi="Times New Roman" w:cs="Times New Roman"/>
          <w:i/>
          <w:iCs/>
          <w:color w:val="000000"/>
          <w:sz w:val="28"/>
          <w:szCs w:val="28"/>
        </w:rPr>
        <w:t xml:space="preserve">61/2012/NĐ-CP </w:t>
      </w:r>
      <w:r w:rsidRPr="00680EB7">
        <w:rPr>
          <w:rFonts w:ascii="Times New Roman" w:eastAsia="Times New Roman" w:hAnsi="Times New Roman" w:cs="Times New Roman"/>
          <w:i/>
          <w:iCs/>
          <w:color w:val="000000"/>
          <w:sz w:val="28"/>
          <w:szCs w:val="28"/>
          <w:lang w:val="vi-VN"/>
        </w:rPr>
        <w:t>ngày 10 tháng 8 năm 2012 của Chính phủ quy định chức năng, nhiệm vụ, quyền hạn và cơ cấu tổ chức của Bộ Nội vụ;</w:t>
      </w:r>
    </w:p>
    <w:p w:rsidR="00680EB7" w:rsidRPr="00680EB7" w:rsidRDefault="00680EB7" w:rsidP="00680EB7">
      <w:pPr>
        <w:shd w:val="clear" w:color="auto" w:fill="FFFFFF"/>
        <w:spacing w:after="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i/>
          <w:iCs/>
          <w:color w:val="000000"/>
          <w:sz w:val="28"/>
          <w:szCs w:val="28"/>
          <w:lang w:val="vi-VN"/>
        </w:rPr>
        <w:t>Căn cứ Nghị định số </w:t>
      </w:r>
      <w:r>
        <w:rPr>
          <w:rFonts w:ascii="Times New Roman" w:eastAsia="Times New Roman" w:hAnsi="Times New Roman" w:cs="Times New Roman"/>
          <w:i/>
          <w:iCs/>
          <w:color w:val="000000"/>
          <w:sz w:val="28"/>
          <w:szCs w:val="28"/>
        </w:rPr>
        <w:t xml:space="preserve">118/2008/NĐ-CP </w:t>
      </w:r>
      <w:r w:rsidRPr="00680EB7">
        <w:rPr>
          <w:rFonts w:ascii="Times New Roman" w:eastAsia="Times New Roman" w:hAnsi="Times New Roman" w:cs="Times New Roman"/>
          <w:i/>
          <w:iCs/>
          <w:color w:val="000000"/>
          <w:sz w:val="28"/>
          <w:szCs w:val="28"/>
          <w:lang w:val="vi-VN"/>
        </w:rPr>
        <w:t>ngày 27 tháng 11 năm 2008 của Chính phủ quy định chức năng, nhiệm vụ, quyền hạn và cơ cấu tổ chức của Bộ Tài chính;</w:t>
      </w:r>
    </w:p>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i/>
          <w:iCs/>
          <w:color w:val="000000"/>
          <w:sz w:val="28"/>
          <w:szCs w:val="28"/>
          <w:lang w:val="vi-VN"/>
        </w:rPr>
        <w:t>Bộ trưởng Bộ Giáo dục và Đào tạo, Bộ trưởng Bộ Nội vụ và Bộ trưởng Bộ Tài chính ban hành Thông tư liên tịch hướng dẫn thực hiện chế độ trả lương dạy thêm giờ đối với nhà giáo trong các cơ sở giáo dục công lập,</w:t>
      </w:r>
    </w:p>
    <w:p w:rsidR="00680EB7" w:rsidRPr="00680EB7" w:rsidRDefault="00680EB7" w:rsidP="00680EB7">
      <w:pPr>
        <w:shd w:val="clear" w:color="auto" w:fill="FFFFFF"/>
        <w:spacing w:after="0" w:line="234" w:lineRule="atLeast"/>
        <w:rPr>
          <w:rFonts w:ascii="Times New Roman" w:eastAsia="Times New Roman" w:hAnsi="Times New Roman" w:cs="Times New Roman"/>
          <w:color w:val="000000"/>
          <w:sz w:val="28"/>
          <w:szCs w:val="28"/>
        </w:rPr>
      </w:pPr>
      <w:bookmarkStart w:id="2" w:name="dieu_1"/>
      <w:r w:rsidRPr="00680EB7">
        <w:rPr>
          <w:rFonts w:ascii="Times New Roman" w:eastAsia="Times New Roman" w:hAnsi="Times New Roman" w:cs="Times New Roman"/>
          <w:b/>
          <w:bCs/>
          <w:color w:val="000000"/>
          <w:sz w:val="28"/>
          <w:szCs w:val="28"/>
          <w:lang w:val="vi-VN"/>
        </w:rPr>
        <w:t>Điều 1. Phạm vi điều chỉnh và đối tượng áp dụng</w:t>
      </w:r>
      <w:bookmarkEnd w:id="2"/>
    </w:p>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1. Phạm vi điều chỉnh</w:t>
      </w:r>
    </w:p>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Thông tư liên tịch này hướng dẫn chế độ trả lương dạy thêm giờ đối với nhà giáo trong các cơ sở giáo dục công lập, bao gồm: cơ sở giáo dục mầm non, cơ sở giáo dục phổ thông, cơ sở giáo dục nghề nghiệp, cơ sở giáo dục đại học và cơ sở đào tạo, bồi dưỡng của Bộ, cơ quan ngang Bộ, cơ quan thuộc Chính phủ, Trường Chính trị tỉnh, thành phố trực thuộc Trung ương được Nhà nước cấp kinh phí hoạt động (bao gồm nguồn thu từ ngân sách nhà nước cấp và các nguồn thu sự nghiệp theo quy định của pháp luật).</w:t>
      </w:r>
    </w:p>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lastRenderedPageBreak/>
        <w:t>2. Đối tượng áp dụng</w:t>
      </w:r>
    </w:p>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a) Nhà giáo (kể cả nhà giáo làm công tác quản lý, kiêm nhiệm công tác Đảng, đoàn thể hoặc được phân công làm nhiệm vụ tổng phụ trách Đội) thuộc danh sách trả lương được cơ quan có thẩm quyền phê duyệt, đang trực tiếp giảng dạy trong các cơ sở giáo dục công lập;</w:t>
      </w:r>
    </w:p>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b) Nhà giáo thuộc danh sách trả lương được cơ quan có thẩm quyền phê duyệt, đang làm công tác hướng dẫn thực hành tại các xưởng trường, trạm, trại, phòng thí nghiệm trong các cơ sở giáo dục công lập; đang trực tiếp làm nhiệm vụ hướng dẫn thực hành trên tàu huấn luyện.</w:t>
      </w:r>
    </w:p>
    <w:p w:rsidR="00680EB7" w:rsidRPr="00680EB7" w:rsidRDefault="00680EB7" w:rsidP="00680EB7">
      <w:pPr>
        <w:shd w:val="clear" w:color="auto" w:fill="FFFFFF"/>
        <w:spacing w:after="0" w:line="234" w:lineRule="atLeast"/>
        <w:rPr>
          <w:rFonts w:ascii="Times New Roman" w:eastAsia="Times New Roman" w:hAnsi="Times New Roman" w:cs="Times New Roman"/>
          <w:color w:val="000000"/>
          <w:sz w:val="28"/>
          <w:szCs w:val="28"/>
        </w:rPr>
      </w:pPr>
      <w:bookmarkStart w:id="3" w:name="dieu_2"/>
      <w:r w:rsidRPr="00680EB7">
        <w:rPr>
          <w:rFonts w:ascii="Times New Roman" w:eastAsia="Times New Roman" w:hAnsi="Times New Roman" w:cs="Times New Roman"/>
          <w:b/>
          <w:bCs/>
          <w:color w:val="000000"/>
          <w:sz w:val="28"/>
          <w:szCs w:val="28"/>
          <w:lang w:val="vi-VN"/>
        </w:rPr>
        <w:t>Điều 2. Điều kiện áp dụng</w:t>
      </w:r>
      <w:bookmarkEnd w:id="3"/>
    </w:p>
    <w:p w:rsidR="00680EB7" w:rsidRPr="00680EB7" w:rsidRDefault="00680EB7" w:rsidP="00680EB7">
      <w:pPr>
        <w:shd w:val="clear" w:color="auto" w:fill="FFFFFF"/>
        <w:spacing w:after="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1. Đối tượng quy định tại Khoản 2 Điều 1 Thông tư liên tịch này, được hưởng tiền lương dạy thêm giờ khi đã được xếp lương theo Nghị định số </w:t>
      </w:r>
      <w:r>
        <w:rPr>
          <w:rFonts w:ascii="Times New Roman" w:eastAsia="Times New Roman" w:hAnsi="Times New Roman" w:cs="Times New Roman"/>
          <w:color w:val="000000"/>
          <w:sz w:val="28"/>
          <w:szCs w:val="28"/>
        </w:rPr>
        <w:t xml:space="preserve">204/2004/NĐ-CP </w:t>
      </w:r>
      <w:r w:rsidRPr="00680EB7">
        <w:rPr>
          <w:rFonts w:ascii="Times New Roman" w:eastAsia="Times New Roman" w:hAnsi="Times New Roman" w:cs="Times New Roman"/>
          <w:color w:val="000000"/>
          <w:sz w:val="28"/>
          <w:szCs w:val="28"/>
          <w:lang w:val="vi-VN"/>
        </w:rPr>
        <w:t>ngày 14 tháng 12 năm 2004 của Chính phủ về chế độ tiền lương đối với cán bộ, công chức, viên chức và lực lượng vũ trang, hoàn thành nhiệm vụ giảng dạy, các nhiệm vụ công tác khác theo chế độ làm việc của nhà giáo quy định tại các văn bản sau:</w:t>
      </w:r>
    </w:p>
    <w:p w:rsidR="00680EB7" w:rsidRPr="00680EB7" w:rsidRDefault="00680EB7" w:rsidP="00680EB7">
      <w:pPr>
        <w:shd w:val="clear" w:color="auto" w:fill="FFFFFF"/>
        <w:spacing w:after="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a) Quyết định số </w:t>
      </w:r>
      <w:r>
        <w:rPr>
          <w:rFonts w:ascii="Times New Roman" w:eastAsia="Times New Roman" w:hAnsi="Times New Roman" w:cs="Times New Roman"/>
          <w:color w:val="000000"/>
          <w:sz w:val="28"/>
          <w:szCs w:val="28"/>
        </w:rPr>
        <w:t xml:space="preserve">61/2005/QĐ-TTg </w:t>
      </w:r>
      <w:r w:rsidRPr="00680EB7">
        <w:rPr>
          <w:rFonts w:ascii="Times New Roman" w:eastAsia="Times New Roman" w:hAnsi="Times New Roman" w:cs="Times New Roman"/>
          <w:color w:val="000000"/>
          <w:sz w:val="28"/>
          <w:szCs w:val="28"/>
          <w:lang w:val="vi-VN"/>
        </w:rPr>
        <w:t>ngày 24 tháng 3 năm 2005 của Thủ tướng Chính phủ về chế độ, chính sách đối với cán bộ Đoàn Thanh niên Cộng sản Hồ Chí Minh, Hội Sinh viên Việt Nam, Hội Liên hiệp Thanh niên Việt Nam trong các trường đại học, cao đẳng, trung học chuyên nghiệp, dạy nghề và trung học phổ thông (gọi tắt là Quyết định số 61/2005/QĐ-TTg);</w:t>
      </w:r>
    </w:p>
    <w:p w:rsidR="00680EB7" w:rsidRPr="00680EB7" w:rsidRDefault="00680EB7" w:rsidP="00680EB7">
      <w:pPr>
        <w:shd w:val="clear" w:color="auto" w:fill="FFFFFF"/>
        <w:spacing w:after="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b) Thông tư số </w:t>
      </w:r>
      <w:r>
        <w:rPr>
          <w:rFonts w:ascii="Times New Roman" w:eastAsia="Times New Roman" w:hAnsi="Times New Roman" w:cs="Times New Roman"/>
          <w:color w:val="000000"/>
          <w:sz w:val="28"/>
          <w:szCs w:val="28"/>
        </w:rPr>
        <w:t xml:space="preserve">48/2011/TT-BGDĐT </w:t>
      </w:r>
      <w:r w:rsidRPr="00680EB7">
        <w:rPr>
          <w:rFonts w:ascii="Times New Roman" w:eastAsia="Times New Roman" w:hAnsi="Times New Roman" w:cs="Times New Roman"/>
          <w:color w:val="000000"/>
          <w:sz w:val="28"/>
          <w:szCs w:val="28"/>
          <w:lang w:val="vi-VN"/>
        </w:rPr>
        <w:t>ngày 25 tháng 10 năm 2011 của Bộ Giáo dục và Đào tạo ban hành quy định chế độ làm việc đối với giáo viên mầm non (gọi tắt là Thông tư số 48/2011/TT-BGDĐT);</w:t>
      </w:r>
    </w:p>
    <w:p w:rsidR="00680EB7" w:rsidRPr="00680EB7" w:rsidRDefault="00680EB7" w:rsidP="00680EB7">
      <w:pPr>
        <w:shd w:val="clear" w:color="auto" w:fill="FFFFFF"/>
        <w:spacing w:after="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c) Thông tư số </w:t>
      </w:r>
      <w:r>
        <w:rPr>
          <w:rFonts w:ascii="Times New Roman" w:eastAsia="Times New Roman" w:hAnsi="Times New Roman" w:cs="Times New Roman"/>
          <w:color w:val="000000"/>
          <w:sz w:val="28"/>
          <w:szCs w:val="28"/>
        </w:rPr>
        <w:t xml:space="preserve">208/2009/TT-BGDĐT </w:t>
      </w:r>
      <w:r w:rsidRPr="00680EB7">
        <w:rPr>
          <w:rFonts w:ascii="Times New Roman" w:eastAsia="Times New Roman" w:hAnsi="Times New Roman" w:cs="Times New Roman"/>
          <w:color w:val="000000"/>
          <w:sz w:val="28"/>
          <w:szCs w:val="28"/>
          <w:lang w:val="vi-VN"/>
        </w:rPr>
        <w:t>ngày 21 tháng 10 năm 2009 của Bộ Giáo dục và Đào tạo ban hành quy định về chế độ làm việc đối với giáo viên phổ thông (gọi tắt là Thông tư số 28/2009/TT-BGDĐT);</w:t>
      </w:r>
    </w:p>
    <w:p w:rsidR="00680EB7" w:rsidRPr="00680EB7" w:rsidRDefault="00680EB7" w:rsidP="00680EB7">
      <w:pPr>
        <w:shd w:val="clear" w:color="auto" w:fill="FFFFFF"/>
        <w:spacing w:after="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d) Quyết định số </w:t>
      </w:r>
      <w:r>
        <w:rPr>
          <w:rFonts w:ascii="Times New Roman" w:eastAsia="Times New Roman" w:hAnsi="Times New Roman" w:cs="Times New Roman"/>
          <w:color w:val="000000"/>
          <w:sz w:val="28"/>
          <w:szCs w:val="28"/>
        </w:rPr>
        <w:t xml:space="preserve">18/2007/QĐ-BGDĐT </w:t>
      </w:r>
      <w:r w:rsidRPr="00680EB7">
        <w:rPr>
          <w:rFonts w:ascii="Times New Roman" w:eastAsia="Times New Roman" w:hAnsi="Times New Roman" w:cs="Times New Roman"/>
          <w:color w:val="000000"/>
          <w:sz w:val="28"/>
          <w:szCs w:val="28"/>
          <w:lang w:val="vi-VN"/>
        </w:rPr>
        <w:t>ngày 24 tháng 5 năm 2007 của Bộ trưởng Bộ Giáo dục và Đào tạo ban hành quy định chế độ công tác giáo viên giảng dạy trung cấp chuyên nghiệp (gọi tắt là Quyết định số 18/2007/QĐ-BGDĐT);</w:t>
      </w:r>
    </w:p>
    <w:p w:rsidR="00680EB7" w:rsidRPr="00680EB7" w:rsidRDefault="00680EB7" w:rsidP="00680EB7">
      <w:pPr>
        <w:shd w:val="clear" w:color="auto" w:fill="FFFFFF"/>
        <w:spacing w:after="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đ) Thông tư số </w:t>
      </w:r>
      <w:r>
        <w:rPr>
          <w:rFonts w:ascii="Times New Roman" w:eastAsia="Times New Roman" w:hAnsi="Times New Roman" w:cs="Times New Roman"/>
          <w:color w:val="000000"/>
          <w:sz w:val="28"/>
          <w:szCs w:val="28"/>
        </w:rPr>
        <w:t xml:space="preserve">09/2008/TT-BLĐTBXH </w:t>
      </w:r>
      <w:r w:rsidRPr="00680EB7">
        <w:rPr>
          <w:rFonts w:ascii="Times New Roman" w:eastAsia="Times New Roman" w:hAnsi="Times New Roman" w:cs="Times New Roman"/>
          <w:color w:val="000000"/>
          <w:sz w:val="28"/>
          <w:szCs w:val="28"/>
          <w:lang w:val="vi-VN"/>
        </w:rPr>
        <w:t>ngày 27 tháng 06 năm 2008 của Bộ Lao động-Thương binh và Xã hội hướng dẫn chế độ làm việc của giáo viên dạy nghề (gọi tắt là Thông tư số 09/2008/TT-BLĐTBXH);</w:t>
      </w:r>
    </w:p>
    <w:p w:rsidR="00680EB7" w:rsidRPr="00680EB7" w:rsidRDefault="00680EB7" w:rsidP="00680EB7">
      <w:pPr>
        <w:shd w:val="clear" w:color="auto" w:fill="FFFFFF"/>
        <w:spacing w:after="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lastRenderedPageBreak/>
        <w:t>e) Quyết định số </w:t>
      </w:r>
      <w:r>
        <w:rPr>
          <w:rFonts w:ascii="Times New Roman" w:eastAsia="Times New Roman" w:hAnsi="Times New Roman" w:cs="Times New Roman"/>
          <w:color w:val="000000"/>
          <w:sz w:val="28"/>
          <w:szCs w:val="28"/>
        </w:rPr>
        <w:t xml:space="preserve">64/2008/QĐ-BGDĐT </w:t>
      </w:r>
      <w:r w:rsidRPr="00680EB7">
        <w:rPr>
          <w:rFonts w:ascii="Times New Roman" w:eastAsia="Times New Roman" w:hAnsi="Times New Roman" w:cs="Times New Roman"/>
          <w:color w:val="000000"/>
          <w:sz w:val="28"/>
          <w:szCs w:val="28"/>
          <w:lang w:val="vi-VN"/>
        </w:rPr>
        <w:t>ngày 28 tháng 11 năm 2008 của Bộ trưởng Bộ Giáo dục và Đào tạo ban hành quy định chế độ làm việc đối với giảng viên (gọi tắt là Quyết định số 64/2008/QĐ-BGDĐT);</w:t>
      </w:r>
    </w:p>
    <w:p w:rsidR="00680EB7" w:rsidRPr="00680EB7" w:rsidRDefault="00680EB7" w:rsidP="00680EB7">
      <w:pPr>
        <w:shd w:val="clear" w:color="auto" w:fill="FFFFFF"/>
        <w:spacing w:after="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f) Thông tư số </w:t>
      </w:r>
      <w:r>
        <w:rPr>
          <w:rFonts w:ascii="Times New Roman" w:eastAsia="Times New Roman" w:hAnsi="Times New Roman" w:cs="Times New Roman"/>
          <w:color w:val="000000"/>
          <w:sz w:val="28"/>
          <w:szCs w:val="28"/>
        </w:rPr>
        <w:t xml:space="preserve">36/2010/TT-BGDĐT </w:t>
      </w:r>
      <w:r w:rsidRPr="00680EB7">
        <w:rPr>
          <w:rFonts w:ascii="Times New Roman" w:eastAsia="Times New Roman" w:hAnsi="Times New Roman" w:cs="Times New Roman"/>
          <w:color w:val="000000"/>
          <w:sz w:val="28"/>
          <w:szCs w:val="28"/>
          <w:lang w:val="vi-VN"/>
        </w:rPr>
        <w:t>ngày 15 tháng 12 năm 2010 của Bộ Giáo dục và Đào tạo về việc sửa đổi, bổ sung một số Điều của Quy định chế độ làm việc đối với giảng viên ban hành kèm theo Quyết định số </w:t>
      </w:r>
      <w:r>
        <w:rPr>
          <w:rFonts w:ascii="Times New Roman" w:eastAsia="Times New Roman" w:hAnsi="Times New Roman" w:cs="Times New Roman"/>
          <w:color w:val="000000"/>
          <w:sz w:val="28"/>
          <w:szCs w:val="28"/>
        </w:rPr>
        <w:t xml:space="preserve">64/2008/QĐ-BGDĐT </w:t>
      </w:r>
      <w:r w:rsidRPr="00680EB7">
        <w:rPr>
          <w:rFonts w:ascii="Times New Roman" w:eastAsia="Times New Roman" w:hAnsi="Times New Roman" w:cs="Times New Roman"/>
          <w:color w:val="000000"/>
          <w:sz w:val="28"/>
          <w:szCs w:val="28"/>
          <w:lang w:val="vi-VN"/>
        </w:rPr>
        <w:t>ngày 28 tháng 11 năm 2008 của Bộ trưởng Bộ Giáo dục và Đào tạo (gọi tắt là Thông tư số 36/2010/TT-BGDĐT);</w:t>
      </w:r>
    </w:p>
    <w:p w:rsidR="00680EB7" w:rsidRPr="00680EB7" w:rsidRDefault="00680EB7" w:rsidP="00680EB7">
      <w:pPr>
        <w:shd w:val="clear" w:color="auto" w:fill="FFFFFF"/>
        <w:spacing w:after="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g) Thông tư liên tịch số </w:t>
      </w:r>
      <w:r>
        <w:rPr>
          <w:rFonts w:ascii="Times New Roman" w:eastAsia="Times New Roman" w:hAnsi="Times New Roman" w:cs="Times New Roman"/>
          <w:color w:val="000000"/>
          <w:sz w:val="28"/>
          <w:szCs w:val="28"/>
        </w:rPr>
        <w:t xml:space="preserve">06/2011/TTLT-BNV-BGDĐT </w:t>
      </w:r>
      <w:r w:rsidRPr="00680EB7">
        <w:rPr>
          <w:rFonts w:ascii="Times New Roman" w:eastAsia="Times New Roman" w:hAnsi="Times New Roman" w:cs="Times New Roman"/>
          <w:color w:val="000000"/>
          <w:sz w:val="28"/>
          <w:szCs w:val="28"/>
          <w:lang w:val="vi-VN"/>
        </w:rPr>
        <w:t>ngày 06 tháng 06 năm 2011 của Bộ Nội vụ và Bộ Giáo dục và Đào tạo quy định tiêu chuẩn, nhiệm vụ, chế độ làm việc, chính sách đối với giảng viên tại cơ sở đào tạo, bồi dưỡng của Bộ, cơ quan ngang Bộ, cơ quan thuộc Chính phủ, Trường Chính trị tỉnh, thành phố trực thuộc Trung ương (gọi tắt là Thông tư liên tịch số 06/2011/TTLT-BNV-BGDĐT);</w:t>
      </w:r>
    </w:p>
    <w:p w:rsidR="00680EB7" w:rsidRPr="00680EB7" w:rsidRDefault="00680EB7" w:rsidP="00680EB7">
      <w:pPr>
        <w:shd w:val="clear" w:color="auto" w:fill="FFFFFF"/>
        <w:spacing w:after="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h) Thông tư số </w:t>
      </w:r>
      <w:r>
        <w:rPr>
          <w:rFonts w:ascii="Times New Roman" w:eastAsia="Times New Roman" w:hAnsi="Times New Roman" w:cs="Times New Roman"/>
          <w:color w:val="000000"/>
          <w:sz w:val="28"/>
          <w:szCs w:val="28"/>
        </w:rPr>
        <w:t xml:space="preserve">18/2012/TT-BGDĐT </w:t>
      </w:r>
      <w:r w:rsidRPr="00680EB7">
        <w:rPr>
          <w:rFonts w:ascii="Times New Roman" w:eastAsia="Times New Roman" w:hAnsi="Times New Roman" w:cs="Times New Roman"/>
          <w:color w:val="000000"/>
          <w:sz w:val="28"/>
          <w:szCs w:val="28"/>
          <w:lang w:val="vi-VN"/>
        </w:rPr>
        <w:t>ngày 31 tháng 5 năm 2012 của Bộ Giáo dục và Đào tạo quy định chế độ làm việc đối với giảng viên ngành nghệ thuật, sư phạm âm nhạc, sư phạm mỹ thuật (gọi tắt là Thông tư số 18/2012/TT-BGDĐT).</w:t>
      </w:r>
    </w:p>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2. Khi các văn bản nêu tại Khoản 1 Điều này được sửa đổi, bổ sung hoặc thay thế thì điều kiện áp dụng quy định tại Khoản 1 Điều này và cách tính tiền lương dạy thêm giờ tại Điều 4 Thông tư liên tịch này được thực hiện theo các quy định đã sửa đổi, bổ sung hoặc thay thế.</w:t>
      </w:r>
    </w:p>
    <w:p w:rsidR="00680EB7" w:rsidRPr="00680EB7" w:rsidRDefault="00680EB7" w:rsidP="00680EB7">
      <w:pPr>
        <w:shd w:val="clear" w:color="auto" w:fill="FFFFFF"/>
        <w:spacing w:after="0" w:line="234" w:lineRule="atLeast"/>
        <w:rPr>
          <w:rFonts w:ascii="Times New Roman" w:eastAsia="Times New Roman" w:hAnsi="Times New Roman" w:cs="Times New Roman"/>
          <w:color w:val="000000"/>
          <w:sz w:val="28"/>
          <w:szCs w:val="28"/>
        </w:rPr>
      </w:pPr>
      <w:bookmarkStart w:id="4" w:name="dieu_3"/>
      <w:r w:rsidRPr="00680EB7">
        <w:rPr>
          <w:rFonts w:ascii="Times New Roman" w:eastAsia="Times New Roman" w:hAnsi="Times New Roman" w:cs="Times New Roman"/>
          <w:b/>
          <w:bCs/>
          <w:color w:val="000000"/>
          <w:sz w:val="28"/>
          <w:szCs w:val="28"/>
          <w:lang w:val="vi-VN"/>
        </w:rPr>
        <w:t>Điều 3. Nguyên tắc tính trả tiền lương dạy thêm giờ</w:t>
      </w:r>
      <w:bookmarkEnd w:id="4"/>
    </w:p>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1. Tiền lương của một tháng làm căn cứ tính trả tiền lương dạy thêm giờ của nhà giáo, bao gồm: mức lương theo ngạch, bậc hiện hưởng, các khoản phụ cấp lương và hệ số chênh lệch bảo lưu (nếu có).</w:t>
      </w:r>
    </w:p>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2. Định mức giờ dạy/năm đối với giáo viên mầm non; định mức tiết dạy/ năm học đối với giáo viên phổ thông; định mức giờ giảng dạy/năm học đối với giáo viên trung cấp chuyên nghiệp; tiêu chuẩn giờ giảng/năm học đối với giáo viên, giảng viên dạy nghề; định mức giờ chuẩn giảng dạy/năm đối với giảng viên cơ sở giáo dục đại học, cơ sở đào tạo, bồi dưỡng của Bộ, cơ quan ngang Bộ, cơ quan thuộc Chính phủ, Trường Chính trị tỉnh, thành phố trực thuộc Trung ương được gọi chung là định mức giờ dạy/năm.</w:t>
      </w:r>
    </w:p>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3. Năm học quy định tại Thông tư liên tịch này được tính từ tháng 7 năm trước đến hết tháng 6 của năm liền kề.</w:t>
      </w:r>
    </w:p>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lastRenderedPageBreak/>
        <w:t>4. Đối với nhà giáo công tác ở các cơ sở giáo dục công lập có nhiều cấp học, trình độ nghề được áp dụng định mức giờ dạy/năm quy định cho cấp học, trình độ nghề cao nhất mà nhà giáo đó trực tiếp tham gia giảng dạy theo sự phân công của người đứng đầu cơ sở giáo dục.</w:t>
      </w:r>
    </w:p>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5. Việc lập dự toán, thanh toán, quyết toán kinh phí tiền lương dạy thêm giờ thực hiện theo quy định của Luật Ngân sách nhà nước. Cơ sở giáo dục công lập quy định tại Khoản 1 Điều 1 của Thông tư liên tịch này, căn cứ điều kiện cụ thể của từng đơn vị để thực hiện thanh toán hoặc tạm ứng tiền lương dạy thêm giờ theo tháng hoặc theo học kỳ cho phù hợp.</w:t>
      </w:r>
    </w:p>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6. Chỉ thanh toán tiền lương dạy thêm giờ ở đơn vị hoặc bộ môn thiếu số lượng nhà giáo do cấp có thẩm quyền phê duyệt. Đơn vị hoặc bộ môn không thiếu nhà giáo thì chỉ được thanh toán tiền lương dạy thêm giờ khi có nhà giáo nghỉ ốm, nghỉ thai sản theo quy định của Luật Bảo hiểm xã hội hoặc đi học tập, bồi dưỡng, tham gia đoàn kiểm tra, thanh tra và tham gia những công việc khác (sau đây gọi chung là đi làm nhiệm vụ khác) do cấp có thẩm quyền phân công, điều động phải bố trí nhà giáo khác dạy thay.</w:t>
      </w:r>
    </w:p>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7. Thời gian không trực tiếp tham gia giảng dạy nhưng được tính hoàn thành đủ số giờ giảng dạy và được tính vào giờ dạy quy đổi, bao gồm: thời gian nghỉ ốm, nghỉ thai sản theo quy định của Luật Bảo hiểm xã hội; thời gian đi làm nhiệm vụ khác do cấp có thẩm quyền phân công, điều động.</w:t>
      </w:r>
    </w:p>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8. Số giờ dạy thêm được tính trả tiền lương dạy thêm giờ theo quy định tại Thông tư liên tịch này không quá số giờ làm thêm theo quy định của pháp luật.</w:t>
      </w:r>
    </w:p>
    <w:p w:rsidR="00680EB7" w:rsidRPr="00680EB7" w:rsidRDefault="00680EB7" w:rsidP="00680EB7">
      <w:pPr>
        <w:shd w:val="clear" w:color="auto" w:fill="FFFFFF"/>
        <w:spacing w:after="0" w:line="234" w:lineRule="atLeast"/>
        <w:rPr>
          <w:rFonts w:ascii="Times New Roman" w:eastAsia="Times New Roman" w:hAnsi="Times New Roman" w:cs="Times New Roman"/>
          <w:color w:val="000000"/>
          <w:sz w:val="28"/>
          <w:szCs w:val="28"/>
        </w:rPr>
      </w:pPr>
      <w:bookmarkStart w:id="5" w:name="dieu_4"/>
      <w:r w:rsidRPr="00680EB7">
        <w:rPr>
          <w:rFonts w:ascii="Times New Roman" w:eastAsia="Times New Roman" w:hAnsi="Times New Roman" w:cs="Times New Roman"/>
          <w:b/>
          <w:bCs/>
          <w:color w:val="000000"/>
          <w:sz w:val="28"/>
          <w:szCs w:val="28"/>
          <w:lang w:val="vi-VN"/>
        </w:rPr>
        <w:t>Điều 4. Cách tính tiền lương dạy thêm giờ</w:t>
      </w:r>
      <w:bookmarkEnd w:id="5"/>
    </w:p>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1. Công thức tính tiền lương dạy thêm giờ:</w:t>
      </w:r>
    </w:p>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a) Tiền lương dạy thêm giờ/năm học = số giờ dạy thêm/năm học x Tiền lương 01 giờ dạy thêm;</w:t>
      </w:r>
    </w:p>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b) Tiền lương 01 giờ dạy thêm = Tiền lương 01 giờ dạy x 150%;</w:t>
      </w:r>
    </w:p>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c) Tiền lương 01 giờ dạy:</w:t>
      </w:r>
    </w:p>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 Đối với giáo viên cơ sở giáo dục mầm non, cơ sở giáo dục phổ thông, trường trung cấp chuyên nghiệp và giáo viên, giảng viên cơ sở dạy nghề:</w:t>
      </w:r>
    </w:p>
    <w:tbl>
      <w:tblPr>
        <w:tblW w:w="0" w:type="auto"/>
        <w:jc w:val="center"/>
        <w:tblCellSpacing w:w="0" w:type="dxa"/>
        <w:tblCellMar>
          <w:left w:w="0" w:type="dxa"/>
          <w:right w:w="0" w:type="dxa"/>
        </w:tblCellMar>
        <w:tblLook w:val="04A0" w:firstRow="1" w:lastRow="0" w:firstColumn="1" w:lastColumn="0" w:noHBand="0" w:noVBand="1"/>
      </w:tblPr>
      <w:tblGrid>
        <w:gridCol w:w="1430"/>
        <w:gridCol w:w="451"/>
        <w:gridCol w:w="3083"/>
        <w:gridCol w:w="451"/>
        <w:gridCol w:w="3083"/>
      </w:tblGrid>
      <w:tr w:rsidR="00680EB7" w:rsidRPr="00680EB7" w:rsidTr="00680EB7">
        <w:trPr>
          <w:tblCellSpacing w:w="0" w:type="dxa"/>
          <w:jc w:val="center"/>
        </w:trPr>
        <w:tc>
          <w:tcPr>
            <w:tcW w:w="1430" w:type="dxa"/>
            <w:vMerge w:val="restart"/>
            <w:tcMar>
              <w:top w:w="0" w:type="dxa"/>
              <w:left w:w="108" w:type="dxa"/>
              <w:bottom w:w="0" w:type="dxa"/>
              <w:right w:w="108" w:type="dxa"/>
            </w:tcMar>
            <w:vAlign w:val="center"/>
            <w:hideMark/>
          </w:tcPr>
          <w:p w:rsidR="00680EB7" w:rsidRPr="00680EB7" w:rsidRDefault="00680EB7" w:rsidP="00680EB7">
            <w:pPr>
              <w:spacing w:before="120" w:after="120" w:line="234" w:lineRule="atLeast"/>
              <w:jc w:val="center"/>
              <w:rPr>
                <w:rFonts w:ascii="Times New Roman" w:eastAsia="Times New Roman" w:hAnsi="Times New Roman" w:cs="Times New Roman"/>
                <w:sz w:val="28"/>
                <w:szCs w:val="28"/>
              </w:rPr>
            </w:pPr>
            <w:r w:rsidRPr="00680EB7">
              <w:rPr>
                <w:rFonts w:ascii="Times New Roman" w:eastAsia="Times New Roman" w:hAnsi="Times New Roman" w:cs="Times New Roman"/>
                <w:sz w:val="28"/>
                <w:szCs w:val="28"/>
              </w:rPr>
              <w:lastRenderedPageBreak/>
              <w:t>Tiền lương 01 giờ dạy</w:t>
            </w:r>
          </w:p>
        </w:tc>
        <w:tc>
          <w:tcPr>
            <w:tcW w:w="451" w:type="dxa"/>
            <w:vMerge w:val="restart"/>
            <w:tcMar>
              <w:top w:w="0" w:type="dxa"/>
              <w:left w:w="108" w:type="dxa"/>
              <w:bottom w:w="0" w:type="dxa"/>
              <w:right w:w="108" w:type="dxa"/>
            </w:tcMar>
            <w:vAlign w:val="center"/>
            <w:hideMark/>
          </w:tcPr>
          <w:p w:rsidR="00680EB7" w:rsidRPr="00680EB7" w:rsidRDefault="00680EB7" w:rsidP="00680EB7">
            <w:pPr>
              <w:spacing w:before="120" w:after="120" w:line="234" w:lineRule="atLeast"/>
              <w:jc w:val="center"/>
              <w:rPr>
                <w:rFonts w:ascii="Times New Roman" w:eastAsia="Times New Roman" w:hAnsi="Times New Roman" w:cs="Times New Roman"/>
                <w:sz w:val="28"/>
                <w:szCs w:val="28"/>
              </w:rPr>
            </w:pPr>
            <w:r w:rsidRPr="00680EB7">
              <w:rPr>
                <w:rFonts w:ascii="Times New Roman" w:eastAsia="Times New Roman" w:hAnsi="Times New Roman" w:cs="Times New Roman"/>
                <w:sz w:val="28"/>
                <w:szCs w:val="28"/>
              </w:rPr>
              <w:t>=</w:t>
            </w:r>
          </w:p>
        </w:tc>
        <w:tc>
          <w:tcPr>
            <w:tcW w:w="3083" w:type="dxa"/>
            <w:tcBorders>
              <w:top w:val="nil"/>
              <w:left w:val="nil"/>
              <w:bottom w:val="single" w:sz="8" w:space="0" w:color="auto"/>
              <w:right w:val="nil"/>
            </w:tcBorders>
            <w:tcMar>
              <w:top w:w="0" w:type="dxa"/>
              <w:left w:w="108" w:type="dxa"/>
              <w:bottom w:w="0" w:type="dxa"/>
              <w:right w:w="108" w:type="dxa"/>
            </w:tcMar>
            <w:vAlign w:val="center"/>
            <w:hideMark/>
          </w:tcPr>
          <w:p w:rsidR="00680EB7" w:rsidRPr="00680EB7" w:rsidRDefault="00680EB7" w:rsidP="00680EB7">
            <w:pPr>
              <w:spacing w:before="120" w:after="120" w:line="234" w:lineRule="atLeast"/>
              <w:jc w:val="center"/>
              <w:rPr>
                <w:rFonts w:ascii="Times New Roman" w:eastAsia="Times New Roman" w:hAnsi="Times New Roman" w:cs="Times New Roman"/>
                <w:sz w:val="28"/>
                <w:szCs w:val="28"/>
              </w:rPr>
            </w:pPr>
            <w:r w:rsidRPr="00680EB7">
              <w:rPr>
                <w:rFonts w:ascii="Times New Roman" w:eastAsia="Times New Roman" w:hAnsi="Times New Roman" w:cs="Times New Roman"/>
                <w:sz w:val="28"/>
                <w:szCs w:val="28"/>
              </w:rPr>
              <w:t>Tổng tiền lương của 12 tháng trong năm học</w:t>
            </w:r>
          </w:p>
        </w:tc>
        <w:tc>
          <w:tcPr>
            <w:tcW w:w="451" w:type="dxa"/>
            <w:vMerge w:val="restart"/>
            <w:tcMar>
              <w:top w:w="0" w:type="dxa"/>
              <w:left w:w="108" w:type="dxa"/>
              <w:bottom w:w="0" w:type="dxa"/>
              <w:right w:w="108" w:type="dxa"/>
            </w:tcMar>
            <w:vAlign w:val="center"/>
            <w:hideMark/>
          </w:tcPr>
          <w:p w:rsidR="00680EB7" w:rsidRPr="00680EB7" w:rsidRDefault="00680EB7" w:rsidP="00680EB7">
            <w:pPr>
              <w:spacing w:before="120" w:after="120" w:line="234" w:lineRule="atLeast"/>
              <w:jc w:val="center"/>
              <w:rPr>
                <w:rFonts w:ascii="Times New Roman" w:eastAsia="Times New Roman" w:hAnsi="Times New Roman" w:cs="Times New Roman"/>
                <w:sz w:val="28"/>
                <w:szCs w:val="28"/>
              </w:rPr>
            </w:pPr>
            <w:r w:rsidRPr="00680EB7">
              <w:rPr>
                <w:rFonts w:ascii="Times New Roman" w:eastAsia="Times New Roman" w:hAnsi="Times New Roman" w:cs="Times New Roman"/>
                <w:sz w:val="28"/>
                <w:szCs w:val="28"/>
              </w:rPr>
              <w:t>x</w:t>
            </w:r>
          </w:p>
        </w:tc>
        <w:tc>
          <w:tcPr>
            <w:tcW w:w="3083" w:type="dxa"/>
            <w:tcBorders>
              <w:top w:val="nil"/>
              <w:left w:val="nil"/>
              <w:bottom w:val="single" w:sz="8" w:space="0" w:color="auto"/>
              <w:right w:val="nil"/>
            </w:tcBorders>
            <w:tcMar>
              <w:top w:w="0" w:type="dxa"/>
              <w:left w:w="108" w:type="dxa"/>
              <w:bottom w:w="0" w:type="dxa"/>
              <w:right w:w="108" w:type="dxa"/>
            </w:tcMar>
            <w:vAlign w:val="center"/>
            <w:hideMark/>
          </w:tcPr>
          <w:p w:rsidR="00680EB7" w:rsidRPr="00680EB7" w:rsidRDefault="00680EB7" w:rsidP="00680EB7">
            <w:pPr>
              <w:spacing w:before="120" w:after="120" w:line="234" w:lineRule="atLeast"/>
              <w:jc w:val="center"/>
              <w:rPr>
                <w:rFonts w:ascii="Times New Roman" w:eastAsia="Times New Roman" w:hAnsi="Times New Roman" w:cs="Times New Roman"/>
                <w:sz w:val="28"/>
                <w:szCs w:val="28"/>
              </w:rPr>
            </w:pPr>
            <w:r w:rsidRPr="00680EB7">
              <w:rPr>
                <w:rFonts w:ascii="Times New Roman" w:eastAsia="Times New Roman" w:hAnsi="Times New Roman" w:cs="Times New Roman"/>
                <w:sz w:val="28"/>
                <w:szCs w:val="28"/>
              </w:rPr>
              <w:t>Số tuần dành cho giảng dạy (dạy trẻ)</w:t>
            </w:r>
          </w:p>
        </w:tc>
      </w:tr>
      <w:tr w:rsidR="00680EB7" w:rsidRPr="00680EB7" w:rsidTr="00680EB7">
        <w:trPr>
          <w:tblCellSpacing w:w="0" w:type="dxa"/>
          <w:jc w:val="center"/>
        </w:trPr>
        <w:tc>
          <w:tcPr>
            <w:tcW w:w="0" w:type="auto"/>
            <w:vMerge/>
            <w:vAlign w:val="center"/>
            <w:hideMark/>
          </w:tcPr>
          <w:p w:rsidR="00680EB7" w:rsidRPr="00680EB7" w:rsidRDefault="00680EB7" w:rsidP="00680EB7">
            <w:pPr>
              <w:spacing w:after="0" w:line="240" w:lineRule="auto"/>
              <w:rPr>
                <w:rFonts w:ascii="Times New Roman" w:eastAsia="Times New Roman" w:hAnsi="Times New Roman" w:cs="Times New Roman"/>
                <w:sz w:val="28"/>
                <w:szCs w:val="28"/>
              </w:rPr>
            </w:pPr>
          </w:p>
        </w:tc>
        <w:tc>
          <w:tcPr>
            <w:tcW w:w="0" w:type="auto"/>
            <w:vMerge/>
            <w:vAlign w:val="center"/>
            <w:hideMark/>
          </w:tcPr>
          <w:p w:rsidR="00680EB7" w:rsidRPr="00680EB7" w:rsidRDefault="00680EB7" w:rsidP="00680EB7">
            <w:pPr>
              <w:spacing w:after="0" w:line="240" w:lineRule="auto"/>
              <w:rPr>
                <w:rFonts w:ascii="Times New Roman" w:eastAsia="Times New Roman" w:hAnsi="Times New Roman" w:cs="Times New Roman"/>
                <w:sz w:val="28"/>
                <w:szCs w:val="28"/>
              </w:rPr>
            </w:pPr>
          </w:p>
        </w:tc>
        <w:tc>
          <w:tcPr>
            <w:tcW w:w="3083" w:type="dxa"/>
            <w:tcMar>
              <w:top w:w="0" w:type="dxa"/>
              <w:left w:w="108" w:type="dxa"/>
              <w:bottom w:w="0" w:type="dxa"/>
              <w:right w:w="108" w:type="dxa"/>
            </w:tcMar>
            <w:vAlign w:val="center"/>
            <w:hideMark/>
          </w:tcPr>
          <w:p w:rsidR="00680EB7" w:rsidRPr="00680EB7" w:rsidRDefault="00680EB7" w:rsidP="00680EB7">
            <w:pPr>
              <w:spacing w:before="120" w:after="120" w:line="234" w:lineRule="atLeast"/>
              <w:jc w:val="center"/>
              <w:rPr>
                <w:rFonts w:ascii="Times New Roman" w:eastAsia="Times New Roman" w:hAnsi="Times New Roman" w:cs="Times New Roman"/>
                <w:sz w:val="28"/>
                <w:szCs w:val="28"/>
              </w:rPr>
            </w:pPr>
            <w:r w:rsidRPr="00680EB7">
              <w:rPr>
                <w:rFonts w:ascii="Times New Roman" w:eastAsia="Times New Roman" w:hAnsi="Times New Roman" w:cs="Times New Roman"/>
                <w:sz w:val="28"/>
                <w:szCs w:val="28"/>
              </w:rPr>
              <w:t>Định mức giờ dạy/năm</w:t>
            </w:r>
          </w:p>
        </w:tc>
        <w:tc>
          <w:tcPr>
            <w:tcW w:w="0" w:type="auto"/>
            <w:vMerge/>
            <w:vAlign w:val="center"/>
            <w:hideMark/>
          </w:tcPr>
          <w:p w:rsidR="00680EB7" w:rsidRPr="00680EB7" w:rsidRDefault="00680EB7" w:rsidP="00680EB7">
            <w:pPr>
              <w:spacing w:after="0" w:line="240" w:lineRule="auto"/>
              <w:rPr>
                <w:rFonts w:ascii="Times New Roman" w:eastAsia="Times New Roman" w:hAnsi="Times New Roman" w:cs="Times New Roman"/>
                <w:sz w:val="28"/>
                <w:szCs w:val="28"/>
              </w:rPr>
            </w:pPr>
          </w:p>
        </w:tc>
        <w:tc>
          <w:tcPr>
            <w:tcW w:w="3083" w:type="dxa"/>
            <w:tcMar>
              <w:top w:w="0" w:type="dxa"/>
              <w:left w:w="108" w:type="dxa"/>
              <w:bottom w:w="0" w:type="dxa"/>
              <w:right w:w="108" w:type="dxa"/>
            </w:tcMar>
            <w:vAlign w:val="center"/>
            <w:hideMark/>
          </w:tcPr>
          <w:p w:rsidR="00680EB7" w:rsidRPr="00680EB7" w:rsidRDefault="00680EB7" w:rsidP="00680EB7">
            <w:pPr>
              <w:spacing w:before="120" w:after="120" w:line="234" w:lineRule="atLeast"/>
              <w:jc w:val="center"/>
              <w:rPr>
                <w:rFonts w:ascii="Times New Roman" w:eastAsia="Times New Roman" w:hAnsi="Times New Roman" w:cs="Times New Roman"/>
                <w:sz w:val="28"/>
                <w:szCs w:val="28"/>
              </w:rPr>
            </w:pPr>
            <w:r w:rsidRPr="00680EB7">
              <w:rPr>
                <w:rFonts w:ascii="Times New Roman" w:eastAsia="Times New Roman" w:hAnsi="Times New Roman" w:cs="Times New Roman"/>
                <w:sz w:val="28"/>
                <w:szCs w:val="28"/>
              </w:rPr>
              <w:t>52 tuần</w:t>
            </w:r>
          </w:p>
        </w:tc>
      </w:tr>
    </w:tbl>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Đối với nhà giáo làm công tác quản lý hoặc được phân công làm nhiệm vụ tổng phụ trách Đội, cán bộ Đoàn, Hội ở cơ sở giáo dục mầm non, cơ sở giáo dục phổ thông, trường trung cấp chuyên nghiệp và cơ sở dạy nghề được tính theo công thức nêu trên, trong đó định mức giờ dạy/năm là định mức giờ dạy/năm của giáo viên cùng bậc học, cấp học, bộ môn của cơ sở giáo dục đó;</w:t>
      </w:r>
    </w:p>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 Đối với giảng viên cơ sở giáo dục đại học, cơ sở đào tạo, bồi dưỡng của Bộ, cơ quan ngang Bộ, cơ quan thuộc Chính phủ, Trường Chính trị tỉnh, thành phố trực thuộc Trung ương:</w:t>
      </w:r>
    </w:p>
    <w:tbl>
      <w:tblPr>
        <w:tblW w:w="0" w:type="auto"/>
        <w:jc w:val="center"/>
        <w:tblCellSpacing w:w="0" w:type="dxa"/>
        <w:tblCellMar>
          <w:left w:w="0" w:type="dxa"/>
          <w:right w:w="0" w:type="dxa"/>
        </w:tblCellMar>
        <w:tblLook w:val="04A0" w:firstRow="1" w:lastRow="0" w:firstColumn="1" w:lastColumn="0" w:noHBand="0" w:noVBand="1"/>
      </w:tblPr>
      <w:tblGrid>
        <w:gridCol w:w="1430"/>
        <w:gridCol w:w="451"/>
        <w:gridCol w:w="3083"/>
        <w:gridCol w:w="451"/>
        <w:gridCol w:w="1254"/>
      </w:tblGrid>
      <w:tr w:rsidR="00680EB7" w:rsidRPr="00680EB7" w:rsidTr="00680EB7">
        <w:trPr>
          <w:tblCellSpacing w:w="0" w:type="dxa"/>
          <w:jc w:val="center"/>
        </w:trPr>
        <w:tc>
          <w:tcPr>
            <w:tcW w:w="1430" w:type="dxa"/>
            <w:vMerge w:val="restart"/>
            <w:tcMar>
              <w:top w:w="0" w:type="dxa"/>
              <w:left w:w="108" w:type="dxa"/>
              <w:bottom w:w="0" w:type="dxa"/>
              <w:right w:w="108" w:type="dxa"/>
            </w:tcMar>
            <w:vAlign w:val="center"/>
            <w:hideMark/>
          </w:tcPr>
          <w:p w:rsidR="00680EB7" w:rsidRPr="00680EB7" w:rsidRDefault="00680EB7" w:rsidP="00680EB7">
            <w:pPr>
              <w:spacing w:before="120" w:after="120" w:line="234" w:lineRule="atLeast"/>
              <w:jc w:val="center"/>
              <w:rPr>
                <w:rFonts w:ascii="Times New Roman" w:eastAsia="Times New Roman" w:hAnsi="Times New Roman" w:cs="Times New Roman"/>
                <w:sz w:val="28"/>
                <w:szCs w:val="28"/>
              </w:rPr>
            </w:pPr>
            <w:r w:rsidRPr="00680EB7">
              <w:rPr>
                <w:rFonts w:ascii="Times New Roman" w:eastAsia="Times New Roman" w:hAnsi="Times New Roman" w:cs="Times New Roman"/>
                <w:sz w:val="28"/>
                <w:szCs w:val="28"/>
              </w:rPr>
              <w:t>Tiền lương 01 giờ dạy</w:t>
            </w:r>
          </w:p>
        </w:tc>
        <w:tc>
          <w:tcPr>
            <w:tcW w:w="451" w:type="dxa"/>
            <w:vMerge w:val="restart"/>
            <w:tcMar>
              <w:top w:w="0" w:type="dxa"/>
              <w:left w:w="108" w:type="dxa"/>
              <w:bottom w:w="0" w:type="dxa"/>
              <w:right w:w="108" w:type="dxa"/>
            </w:tcMar>
            <w:vAlign w:val="center"/>
            <w:hideMark/>
          </w:tcPr>
          <w:p w:rsidR="00680EB7" w:rsidRPr="00680EB7" w:rsidRDefault="00680EB7" w:rsidP="00680EB7">
            <w:pPr>
              <w:spacing w:before="120" w:after="120" w:line="234" w:lineRule="atLeast"/>
              <w:jc w:val="center"/>
              <w:rPr>
                <w:rFonts w:ascii="Times New Roman" w:eastAsia="Times New Roman" w:hAnsi="Times New Roman" w:cs="Times New Roman"/>
                <w:sz w:val="28"/>
                <w:szCs w:val="28"/>
              </w:rPr>
            </w:pPr>
            <w:r w:rsidRPr="00680EB7">
              <w:rPr>
                <w:rFonts w:ascii="Times New Roman" w:eastAsia="Times New Roman" w:hAnsi="Times New Roman" w:cs="Times New Roman"/>
                <w:sz w:val="28"/>
                <w:szCs w:val="28"/>
              </w:rPr>
              <w:t>=</w:t>
            </w:r>
          </w:p>
        </w:tc>
        <w:tc>
          <w:tcPr>
            <w:tcW w:w="3083" w:type="dxa"/>
            <w:tcBorders>
              <w:top w:val="nil"/>
              <w:left w:val="nil"/>
              <w:bottom w:val="single" w:sz="8" w:space="0" w:color="auto"/>
              <w:right w:val="nil"/>
            </w:tcBorders>
            <w:tcMar>
              <w:top w:w="0" w:type="dxa"/>
              <w:left w:w="108" w:type="dxa"/>
              <w:bottom w:w="0" w:type="dxa"/>
              <w:right w:w="108" w:type="dxa"/>
            </w:tcMar>
            <w:vAlign w:val="center"/>
            <w:hideMark/>
          </w:tcPr>
          <w:p w:rsidR="00680EB7" w:rsidRPr="00680EB7" w:rsidRDefault="00680EB7" w:rsidP="00680EB7">
            <w:pPr>
              <w:spacing w:before="120" w:after="120" w:line="234" w:lineRule="atLeast"/>
              <w:jc w:val="center"/>
              <w:rPr>
                <w:rFonts w:ascii="Times New Roman" w:eastAsia="Times New Roman" w:hAnsi="Times New Roman" w:cs="Times New Roman"/>
                <w:sz w:val="28"/>
                <w:szCs w:val="28"/>
              </w:rPr>
            </w:pPr>
            <w:r w:rsidRPr="00680EB7">
              <w:rPr>
                <w:rFonts w:ascii="Times New Roman" w:eastAsia="Times New Roman" w:hAnsi="Times New Roman" w:cs="Times New Roman"/>
                <w:sz w:val="28"/>
                <w:szCs w:val="28"/>
              </w:rPr>
              <w:t>Tổng tiền lương của 12 tháng trong năm học</w:t>
            </w:r>
          </w:p>
        </w:tc>
        <w:tc>
          <w:tcPr>
            <w:tcW w:w="451" w:type="dxa"/>
            <w:vMerge w:val="restart"/>
            <w:tcMar>
              <w:top w:w="0" w:type="dxa"/>
              <w:left w:w="108" w:type="dxa"/>
              <w:bottom w:w="0" w:type="dxa"/>
              <w:right w:w="108" w:type="dxa"/>
            </w:tcMar>
            <w:vAlign w:val="center"/>
            <w:hideMark/>
          </w:tcPr>
          <w:p w:rsidR="00680EB7" w:rsidRPr="00680EB7" w:rsidRDefault="00680EB7" w:rsidP="00680EB7">
            <w:pPr>
              <w:spacing w:before="120" w:after="120" w:line="234" w:lineRule="atLeast"/>
              <w:jc w:val="center"/>
              <w:rPr>
                <w:rFonts w:ascii="Times New Roman" w:eastAsia="Times New Roman" w:hAnsi="Times New Roman" w:cs="Times New Roman"/>
                <w:sz w:val="28"/>
                <w:szCs w:val="28"/>
              </w:rPr>
            </w:pPr>
            <w:r w:rsidRPr="00680EB7">
              <w:rPr>
                <w:rFonts w:ascii="Times New Roman" w:eastAsia="Times New Roman" w:hAnsi="Times New Roman" w:cs="Times New Roman"/>
                <w:sz w:val="28"/>
                <w:szCs w:val="28"/>
              </w:rPr>
              <w:t>x</w:t>
            </w:r>
          </w:p>
        </w:tc>
        <w:tc>
          <w:tcPr>
            <w:tcW w:w="1254" w:type="dxa"/>
            <w:tcBorders>
              <w:top w:val="nil"/>
              <w:left w:val="nil"/>
              <w:bottom w:val="single" w:sz="8" w:space="0" w:color="auto"/>
              <w:right w:val="nil"/>
            </w:tcBorders>
            <w:tcMar>
              <w:top w:w="0" w:type="dxa"/>
              <w:left w:w="108" w:type="dxa"/>
              <w:bottom w:w="0" w:type="dxa"/>
              <w:right w:w="108" w:type="dxa"/>
            </w:tcMar>
            <w:vAlign w:val="center"/>
            <w:hideMark/>
          </w:tcPr>
          <w:p w:rsidR="00680EB7" w:rsidRPr="00680EB7" w:rsidRDefault="00680EB7" w:rsidP="00680EB7">
            <w:pPr>
              <w:spacing w:before="120" w:after="120" w:line="234" w:lineRule="atLeast"/>
              <w:jc w:val="center"/>
              <w:rPr>
                <w:rFonts w:ascii="Times New Roman" w:eastAsia="Times New Roman" w:hAnsi="Times New Roman" w:cs="Times New Roman"/>
                <w:sz w:val="28"/>
                <w:szCs w:val="28"/>
              </w:rPr>
            </w:pPr>
            <w:r w:rsidRPr="00680EB7">
              <w:rPr>
                <w:rFonts w:ascii="Times New Roman" w:eastAsia="Times New Roman" w:hAnsi="Times New Roman" w:cs="Times New Roman"/>
                <w:sz w:val="28"/>
                <w:szCs w:val="28"/>
              </w:rPr>
              <w:t>22,5 tuần</w:t>
            </w:r>
          </w:p>
        </w:tc>
      </w:tr>
      <w:tr w:rsidR="00680EB7" w:rsidRPr="00680EB7" w:rsidTr="00680EB7">
        <w:trPr>
          <w:tblCellSpacing w:w="0" w:type="dxa"/>
          <w:jc w:val="center"/>
        </w:trPr>
        <w:tc>
          <w:tcPr>
            <w:tcW w:w="0" w:type="auto"/>
            <w:vMerge/>
            <w:vAlign w:val="center"/>
            <w:hideMark/>
          </w:tcPr>
          <w:p w:rsidR="00680EB7" w:rsidRPr="00680EB7" w:rsidRDefault="00680EB7" w:rsidP="00680EB7">
            <w:pPr>
              <w:spacing w:after="0" w:line="240" w:lineRule="auto"/>
              <w:rPr>
                <w:rFonts w:ascii="Times New Roman" w:eastAsia="Times New Roman" w:hAnsi="Times New Roman" w:cs="Times New Roman"/>
                <w:sz w:val="28"/>
                <w:szCs w:val="28"/>
              </w:rPr>
            </w:pPr>
          </w:p>
        </w:tc>
        <w:tc>
          <w:tcPr>
            <w:tcW w:w="0" w:type="auto"/>
            <w:vMerge/>
            <w:vAlign w:val="center"/>
            <w:hideMark/>
          </w:tcPr>
          <w:p w:rsidR="00680EB7" w:rsidRPr="00680EB7" w:rsidRDefault="00680EB7" w:rsidP="00680EB7">
            <w:pPr>
              <w:spacing w:after="0" w:line="240" w:lineRule="auto"/>
              <w:rPr>
                <w:rFonts w:ascii="Times New Roman" w:eastAsia="Times New Roman" w:hAnsi="Times New Roman" w:cs="Times New Roman"/>
                <w:sz w:val="28"/>
                <w:szCs w:val="28"/>
              </w:rPr>
            </w:pPr>
          </w:p>
        </w:tc>
        <w:tc>
          <w:tcPr>
            <w:tcW w:w="3083" w:type="dxa"/>
            <w:tcMar>
              <w:top w:w="0" w:type="dxa"/>
              <w:left w:w="108" w:type="dxa"/>
              <w:bottom w:w="0" w:type="dxa"/>
              <w:right w:w="108" w:type="dxa"/>
            </w:tcMar>
            <w:vAlign w:val="center"/>
            <w:hideMark/>
          </w:tcPr>
          <w:p w:rsidR="00680EB7" w:rsidRPr="00680EB7" w:rsidRDefault="00680EB7" w:rsidP="00680EB7">
            <w:pPr>
              <w:spacing w:before="120" w:after="120" w:line="234" w:lineRule="atLeast"/>
              <w:jc w:val="center"/>
              <w:rPr>
                <w:rFonts w:ascii="Times New Roman" w:eastAsia="Times New Roman" w:hAnsi="Times New Roman" w:cs="Times New Roman"/>
                <w:sz w:val="28"/>
                <w:szCs w:val="28"/>
              </w:rPr>
            </w:pPr>
            <w:r w:rsidRPr="00680EB7">
              <w:rPr>
                <w:rFonts w:ascii="Times New Roman" w:eastAsia="Times New Roman" w:hAnsi="Times New Roman" w:cs="Times New Roman"/>
                <w:sz w:val="28"/>
                <w:szCs w:val="28"/>
              </w:rPr>
              <w:t>Định mức giờ dạy/năm</w:t>
            </w:r>
          </w:p>
        </w:tc>
        <w:tc>
          <w:tcPr>
            <w:tcW w:w="0" w:type="auto"/>
            <w:vMerge/>
            <w:vAlign w:val="center"/>
            <w:hideMark/>
          </w:tcPr>
          <w:p w:rsidR="00680EB7" w:rsidRPr="00680EB7" w:rsidRDefault="00680EB7" w:rsidP="00680EB7">
            <w:pPr>
              <w:spacing w:after="0" w:line="240" w:lineRule="auto"/>
              <w:rPr>
                <w:rFonts w:ascii="Times New Roman" w:eastAsia="Times New Roman" w:hAnsi="Times New Roman" w:cs="Times New Roman"/>
                <w:sz w:val="28"/>
                <w:szCs w:val="28"/>
              </w:rPr>
            </w:pPr>
          </w:p>
        </w:tc>
        <w:tc>
          <w:tcPr>
            <w:tcW w:w="1254" w:type="dxa"/>
            <w:tcMar>
              <w:top w:w="0" w:type="dxa"/>
              <w:left w:w="108" w:type="dxa"/>
              <w:bottom w:w="0" w:type="dxa"/>
              <w:right w:w="108" w:type="dxa"/>
            </w:tcMar>
            <w:vAlign w:val="center"/>
            <w:hideMark/>
          </w:tcPr>
          <w:p w:rsidR="00680EB7" w:rsidRPr="00680EB7" w:rsidRDefault="00680EB7" w:rsidP="00680EB7">
            <w:pPr>
              <w:spacing w:before="120" w:after="120" w:line="234" w:lineRule="atLeast"/>
              <w:jc w:val="center"/>
              <w:rPr>
                <w:rFonts w:ascii="Times New Roman" w:eastAsia="Times New Roman" w:hAnsi="Times New Roman" w:cs="Times New Roman"/>
                <w:sz w:val="28"/>
                <w:szCs w:val="28"/>
              </w:rPr>
            </w:pPr>
            <w:r w:rsidRPr="00680EB7">
              <w:rPr>
                <w:rFonts w:ascii="Times New Roman" w:eastAsia="Times New Roman" w:hAnsi="Times New Roman" w:cs="Times New Roman"/>
                <w:sz w:val="28"/>
                <w:szCs w:val="28"/>
              </w:rPr>
              <w:t>52 tuần</w:t>
            </w:r>
          </w:p>
        </w:tc>
      </w:tr>
    </w:tbl>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Đối với nhà giáo làm công tác quản lý, cán bộ Đoàn, Hội tham gia giảng dạy ở cơ sở giáo dục đại học, cơ sở đào tạo, bồi dưỡng của Bộ, cơ quan ngang Bộ, cơ quan thuộc Chính phủ, Trường Chính trị tỉnh, thành phố trực thuộc Trung ương được tính theo công thức nêu trên, trong đó định mức giờ dạy/năm là định mức giờ dạy/năm của giảng viên cùng chức danh, bộ môn của cơ sở giáo dục đó;</w:t>
      </w:r>
    </w:p>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d) Số giờ dạy thêm/năm học = [Số giờ dạy thực tế/năm học + Số giờ dạy quy đổi/năm học (nếu có) + Số giờ dạy tính thêm/năm học (nếu có) + Số giờ dạy được giảm theo chế độ/năm học (nếu có)] - (Định mức giờ dạy/năm).</w:t>
      </w:r>
    </w:p>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Trong đó:</w:t>
      </w:r>
    </w:p>
    <w:p w:rsidR="00680EB7" w:rsidRPr="00680EB7" w:rsidRDefault="00680EB7" w:rsidP="00680EB7">
      <w:pPr>
        <w:shd w:val="clear" w:color="auto" w:fill="FFFFFF"/>
        <w:spacing w:after="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 Số giờ dạy quy đổi/năm học được thực hiện theo </w:t>
      </w:r>
      <w:bookmarkStart w:id="6" w:name="dc_1"/>
      <w:r w:rsidRPr="00680EB7">
        <w:rPr>
          <w:rFonts w:ascii="Times New Roman" w:eastAsia="Times New Roman" w:hAnsi="Times New Roman" w:cs="Times New Roman"/>
          <w:color w:val="000000"/>
          <w:sz w:val="28"/>
          <w:szCs w:val="28"/>
          <w:lang w:val="vi-VN"/>
        </w:rPr>
        <w:t>Khoản 3 Điều 5 của Thông tư số 48/2011/TT-BGDĐT</w:t>
      </w:r>
      <w:bookmarkEnd w:id="6"/>
      <w:r w:rsidRPr="00680EB7">
        <w:rPr>
          <w:rFonts w:ascii="Times New Roman" w:eastAsia="Times New Roman" w:hAnsi="Times New Roman" w:cs="Times New Roman"/>
          <w:color w:val="000000"/>
          <w:sz w:val="28"/>
          <w:szCs w:val="28"/>
          <w:lang w:val="vi-VN"/>
        </w:rPr>
        <w:t>; </w:t>
      </w:r>
      <w:bookmarkStart w:id="7" w:name="dc_2"/>
      <w:r w:rsidRPr="00680EB7">
        <w:rPr>
          <w:rFonts w:ascii="Times New Roman" w:eastAsia="Times New Roman" w:hAnsi="Times New Roman" w:cs="Times New Roman"/>
          <w:color w:val="000000"/>
          <w:sz w:val="28"/>
          <w:szCs w:val="28"/>
          <w:lang w:val="vi-VN"/>
        </w:rPr>
        <w:t>Điều 11 Thông tư số 28/2009/TT-BGDĐT</w:t>
      </w:r>
      <w:bookmarkEnd w:id="7"/>
      <w:r w:rsidRPr="00680EB7">
        <w:rPr>
          <w:rFonts w:ascii="Times New Roman" w:eastAsia="Times New Roman" w:hAnsi="Times New Roman" w:cs="Times New Roman"/>
          <w:color w:val="000000"/>
          <w:sz w:val="28"/>
          <w:szCs w:val="28"/>
          <w:lang w:val="vi-VN"/>
        </w:rPr>
        <w:t>; </w:t>
      </w:r>
      <w:bookmarkStart w:id="8" w:name="dc_3"/>
      <w:r w:rsidRPr="00680EB7">
        <w:rPr>
          <w:rFonts w:ascii="Times New Roman" w:eastAsia="Times New Roman" w:hAnsi="Times New Roman" w:cs="Times New Roman"/>
          <w:color w:val="000000"/>
          <w:sz w:val="28"/>
          <w:szCs w:val="28"/>
          <w:lang w:val="vi-VN"/>
        </w:rPr>
        <w:t>Khoản 4 Mục II và Khoản 4 Mục III Thông tư số 09/2008/TT-BLĐTBXH</w:t>
      </w:r>
      <w:bookmarkEnd w:id="8"/>
      <w:r w:rsidRPr="00680EB7">
        <w:rPr>
          <w:rFonts w:ascii="Times New Roman" w:eastAsia="Times New Roman" w:hAnsi="Times New Roman" w:cs="Times New Roman"/>
          <w:color w:val="000000"/>
          <w:sz w:val="28"/>
          <w:szCs w:val="28"/>
          <w:lang w:val="vi-VN"/>
        </w:rPr>
        <w:t>; </w:t>
      </w:r>
      <w:bookmarkStart w:id="9" w:name="dc_4"/>
      <w:r w:rsidRPr="00680EB7">
        <w:rPr>
          <w:rFonts w:ascii="Times New Roman" w:eastAsia="Times New Roman" w:hAnsi="Times New Roman" w:cs="Times New Roman"/>
          <w:color w:val="000000"/>
          <w:sz w:val="28"/>
          <w:szCs w:val="28"/>
          <w:lang w:val="vi-VN"/>
        </w:rPr>
        <w:t>Điều 12 Quyết định số 18/2007/QĐ-BGDĐT</w:t>
      </w:r>
      <w:bookmarkEnd w:id="9"/>
      <w:r w:rsidRPr="00680EB7">
        <w:rPr>
          <w:rFonts w:ascii="Times New Roman" w:eastAsia="Times New Roman" w:hAnsi="Times New Roman" w:cs="Times New Roman"/>
          <w:color w:val="000000"/>
          <w:sz w:val="28"/>
          <w:szCs w:val="28"/>
          <w:lang w:val="vi-VN"/>
        </w:rPr>
        <w:t>; </w:t>
      </w:r>
      <w:bookmarkStart w:id="10" w:name="dc_5"/>
      <w:r w:rsidRPr="00680EB7">
        <w:rPr>
          <w:rFonts w:ascii="Times New Roman" w:eastAsia="Times New Roman" w:hAnsi="Times New Roman" w:cs="Times New Roman"/>
          <w:color w:val="000000"/>
          <w:sz w:val="28"/>
          <w:szCs w:val="28"/>
          <w:lang w:val="vi-VN"/>
        </w:rPr>
        <w:t>Khoản 2 Điều 11 và Điểm d Khoản 3 Điều 13 Quyết định số 64/2008/QĐ-BGDĐT</w:t>
      </w:r>
      <w:bookmarkEnd w:id="10"/>
      <w:r w:rsidRPr="00680EB7">
        <w:rPr>
          <w:rFonts w:ascii="Times New Roman" w:eastAsia="Times New Roman" w:hAnsi="Times New Roman" w:cs="Times New Roman"/>
          <w:color w:val="000000"/>
          <w:sz w:val="28"/>
          <w:szCs w:val="28"/>
          <w:lang w:val="vi-VN"/>
        </w:rPr>
        <w:t>; </w:t>
      </w:r>
      <w:bookmarkStart w:id="11" w:name="dc_6"/>
      <w:r w:rsidRPr="00680EB7">
        <w:rPr>
          <w:rFonts w:ascii="Times New Roman" w:eastAsia="Times New Roman" w:hAnsi="Times New Roman" w:cs="Times New Roman"/>
          <w:color w:val="000000"/>
          <w:sz w:val="28"/>
          <w:szCs w:val="28"/>
          <w:lang w:val="vi-VN"/>
        </w:rPr>
        <w:t>Khoản 3 Khoản 4 Điều 10 và Khoản 2, Khoản 3 Điều 11 Thông tư liên tịch số </w:t>
      </w:r>
      <w:bookmarkEnd w:id="11"/>
      <w:r w:rsidRPr="00680EB7">
        <w:rPr>
          <w:rFonts w:ascii="Times New Roman" w:eastAsia="Times New Roman" w:hAnsi="Times New Roman" w:cs="Times New Roman"/>
          <w:color w:val="000000"/>
          <w:sz w:val="28"/>
          <w:szCs w:val="28"/>
          <w:lang w:val="vi-VN"/>
        </w:rPr>
        <w:fldChar w:fldCharType="begin"/>
      </w:r>
      <w:r w:rsidRPr="00680EB7">
        <w:rPr>
          <w:rFonts w:ascii="Times New Roman" w:eastAsia="Times New Roman" w:hAnsi="Times New Roman" w:cs="Times New Roman"/>
          <w:color w:val="000000"/>
          <w:sz w:val="28"/>
          <w:szCs w:val="28"/>
          <w:lang w:val="vi-VN"/>
        </w:rPr>
        <w:instrText xml:space="preserve"> HYPERLINK "https://thuvienphapluat.vn/van-ban/lao-dong-tien-luong/thong-tu-lien-tich-06-2011-ttlt-bnv-bgddt-tieu-chuan-nhiem-vu-che-do-125639.aspx" \o "Thông tư liên tịch 06/2011/TTLT-BNV-BGDĐT" \t "_blank" </w:instrText>
      </w:r>
      <w:r w:rsidRPr="00680EB7">
        <w:rPr>
          <w:rFonts w:ascii="Times New Roman" w:eastAsia="Times New Roman" w:hAnsi="Times New Roman" w:cs="Times New Roman"/>
          <w:color w:val="000000"/>
          <w:sz w:val="28"/>
          <w:szCs w:val="28"/>
          <w:lang w:val="vi-VN"/>
        </w:rPr>
        <w:fldChar w:fldCharType="separate"/>
      </w:r>
      <w:r w:rsidRPr="00680EB7">
        <w:rPr>
          <w:rFonts w:ascii="Times New Roman" w:eastAsia="Times New Roman" w:hAnsi="Times New Roman" w:cs="Times New Roman"/>
          <w:color w:val="0E70C3"/>
          <w:sz w:val="28"/>
          <w:szCs w:val="28"/>
          <w:lang w:val="vi-VN"/>
        </w:rPr>
        <w:t>06/2011/TTLT-BNV-BGDĐT</w:t>
      </w:r>
      <w:r w:rsidRPr="00680EB7">
        <w:rPr>
          <w:rFonts w:ascii="Times New Roman" w:eastAsia="Times New Roman" w:hAnsi="Times New Roman" w:cs="Times New Roman"/>
          <w:color w:val="000000"/>
          <w:sz w:val="28"/>
          <w:szCs w:val="28"/>
          <w:lang w:val="vi-VN"/>
        </w:rPr>
        <w:fldChar w:fldCharType="end"/>
      </w:r>
      <w:r w:rsidRPr="00680EB7">
        <w:rPr>
          <w:rFonts w:ascii="Times New Roman" w:eastAsia="Times New Roman" w:hAnsi="Times New Roman" w:cs="Times New Roman"/>
          <w:color w:val="000000"/>
          <w:sz w:val="28"/>
          <w:szCs w:val="28"/>
          <w:lang w:val="vi-VN"/>
        </w:rPr>
        <w:t> ;</w:t>
      </w:r>
    </w:p>
    <w:p w:rsidR="00680EB7" w:rsidRPr="00680EB7" w:rsidRDefault="00680EB7" w:rsidP="00680EB7">
      <w:pPr>
        <w:shd w:val="clear" w:color="auto" w:fill="FFFFFF"/>
        <w:spacing w:after="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lastRenderedPageBreak/>
        <w:t>- Số giờ dạy tính thêm/năm học được áp dụng đối với giáo viên dạy lớp có trẻ khuyết tật học hòa nhập được quy định tại </w:t>
      </w:r>
      <w:bookmarkStart w:id="12" w:name="dc_7"/>
      <w:r w:rsidRPr="00680EB7">
        <w:rPr>
          <w:rFonts w:ascii="Times New Roman" w:eastAsia="Times New Roman" w:hAnsi="Times New Roman" w:cs="Times New Roman"/>
          <w:color w:val="000000"/>
          <w:sz w:val="28"/>
          <w:szCs w:val="28"/>
          <w:lang w:val="vi-VN"/>
        </w:rPr>
        <w:t>Khoản 3 Điều 4 của Thông tư số 48/2011/TT-BGDĐT</w:t>
      </w:r>
      <w:bookmarkEnd w:id="12"/>
      <w:r w:rsidRPr="00680EB7">
        <w:rPr>
          <w:rFonts w:ascii="Times New Roman" w:eastAsia="Times New Roman" w:hAnsi="Times New Roman" w:cs="Times New Roman"/>
          <w:color w:val="000000"/>
          <w:sz w:val="28"/>
          <w:szCs w:val="28"/>
          <w:lang w:val="vi-VN"/>
        </w:rPr>
        <w:t>;</w:t>
      </w:r>
    </w:p>
    <w:p w:rsidR="00680EB7" w:rsidRPr="00680EB7" w:rsidRDefault="00680EB7" w:rsidP="00680EB7">
      <w:pPr>
        <w:shd w:val="clear" w:color="auto" w:fill="FFFFFF"/>
        <w:spacing w:after="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 Số giờ dạy được giảm theo chế độ/năm học được thực hiện theo quy định tại </w:t>
      </w:r>
      <w:bookmarkStart w:id="13" w:name="dc_8"/>
      <w:r w:rsidRPr="00680EB7">
        <w:rPr>
          <w:rFonts w:ascii="Times New Roman" w:eastAsia="Times New Roman" w:hAnsi="Times New Roman" w:cs="Times New Roman"/>
          <w:color w:val="000000"/>
          <w:sz w:val="28"/>
          <w:szCs w:val="28"/>
          <w:lang w:val="vi-VN"/>
        </w:rPr>
        <w:t>Khoản 1, Khoản 2 Điều 5 Thông tư số 48/2011/TT-BGDĐT</w:t>
      </w:r>
      <w:bookmarkEnd w:id="13"/>
      <w:r w:rsidRPr="00680EB7">
        <w:rPr>
          <w:rFonts w:ascii="Times New Roman" w:eastAsia="Times New Roman" w:hAnsi="Times New Roman" w:cs="Times New Roman"/>
          <w:color w:val="000000"/>
          <w:sz w:val="28"/>
          <w:szCs w:val="28"/>
          <w:lang w:val="vi-VN"/>
        </w:rPr>
        <w:t>; </w:t>
      </w:r>
      <w:bookmarkStart w:id="14" w:name="dc_9"/>
      <w:r w:rsidRPr="00680EB7">
        <w:rPr>
          <w:rFonts w:ascii="Times New Roman" w:eastAsia="Times New Roman" w:hAnsi="Times New Roman" w:cs="Times New Roman"/>
          <w:color w:val="000000"/>
          <w:sz w:val="28"/>
          <w:szCs w:val="28"/>
          <w:lang w:val="vi-VN"/>
        </w:rPr>
        <w:t>Điều 8, Điều 9, Điều 10 Thông tư số 28/2009/TT-BGDĐT</w:t>
      </w:r>
      <w:bookmarkEnd w:id="14"/>
      <w:r w:rsidRPr="00680EB7">
        <w:rPr>
          <w:rFonts w:ascii="Times New Roman" w:eastAsia="Times New Roman" w:hAnsi="Times New Roman" w:cs="Times New Roman"/>
          <w:color w:val="000000"/>
          <w:sz w:val="28"/>
          <w:szCs w:val="28"/>
          <w:lang w:val="vi-VN"/>
        </w:rPr>
        <w:t>; </w:t>
      </w:r>
      <w:bookmarkStart w:id="15" w:name="dc_10"/>
      <w:r w:rsidRPr="00680EB7">
        <w:rPr>
          <w:rFonts w:ascii="Times New Roman" w:eastAsia="Times New Roman" w:hAnsi="Times New Roman" w:cs="Times New Roman"/>
          <w:color w:val="000000"/>
          <w:sz w:val="28"/>
          <w:szCs w:val="28"/>
          <w:lang w:val="vi-VN"/>
        </w:rPr>
        <w:t>Điều 9, Điều 10, Điều 11 Quyết định số 18/2007/QĐ-BGDĐT</w:t>
      </w:r>
      <w:bookmarkEnd w:id="15"/>
      <w:r w:rsidRPr="00680EB7">
        <w:rPr>
          <w:rFonts w:ascii="Times New Roman" w:eastAsia="Times New Roman" w:hAnsi="Times New Roman" w:cs="Times New Roman"/>
          <w:color w:val="000000"/>
          <w:sz w:val="28"/>
          <w:szCs w:val="28"/>
          <w:lang w:val="vi-VN"/>
        </w:rPr>
        <w:t>; </w:t>
      </w:r>
      <w:bookmarkStart w:id="16" w:name="dc_11"/>
      <w:r w:rsidRPr="00680EB7">
        <w:rPr>
          <w:rFonts w:ascii="Times New Roman" w:eastAsia="Times New Roman" w:hAnsi="Times New Roman" w:cs="Times New Roman"/>
          <w:color w:val="000000"/>
          <w:sz w:val="28"/>
          <w:szCs w:val="28"/>
          <w:lang w:val="vi-VN"/>
        </w:rPr>
        <w:t>Khoản 6 Mục II và Khoản 4 Mục III Thông tư số 09/2008/TT-BLĐTBXH</w:t>
      </w:r>
      <w:bookmarkEnd w:id="16"/>
      <w:r w:rsidRPr="00680EB7">
        <w:rPr>
          <w:rFonts w:ascii="Times New Roman" w:eastAsia="Times New Roman" w:hAnsi="Times New Roman" w:cs="Times New Roman"/>
          <w:color w:val="000000"/>
          <w:sz w:val="28"/>
          <w:szCs w:val="28"/>
          <w:lang w:val="vi-VN"/>
        </w:rPr>
        <w:t>; </w:t>
      </w:r>
      <w:bookmarkStart w:id="17" w:name="dc_12"/>
      <w:r w:rsidRPr="00680EB7">
        <w:rPr>
          <w:rFonts w:ascii="Times New Roman" w:eastAsia="Times New Roman" w:hAnsi="Times New Roman" w:cs="Times New Roman"/>
          <w:color w:val="000000"/>
          <w:sz w:val="28"/>
          <w:szCs w:val="28"/>
          <w:lang w:val="vi-VN"/>
        </w:rPr>
        <w:t>Khoản 3, Khoản 4 Điều 12 Thông tư liên tịch số </w:t>
      </w:r>
      <w:bookmarkEnd w:id="17"/>
      <w:r w:rsidR="002E4469">
        <w:rPr>
          <w:rFonts w:ascii="Times New Roman" w:eastAsia="Times New Roman" w:hAnsi="Times New Roman" w:cs="Times New Roman"/>
          <w:color w:val="000000"/>
          <w:sz w:val="28"/>
          <w:szCs w:val="28"/>
        </w:rPr>
        <w:t>06/2011/TTLT-BNV-BGDĐT</w:t>
      </w:r>
      <w:r w:rsidRPr="00680EB7">
        <w:rPr>
          <w:rFonts w:ascii="Times New Roman" w:eastAsia="Times New Roman" w:hAnsi="Times New Roman" w:cs="Times New Roman"/>
          <w:color w:val="000000"/>
          <w:sz w:val="28"/>
          <w:szCs w:val="28"/>
          <w:lang w:val="vi-VN"/>
        </w:rPr>
        <w:t>;</w:t>
      </w:r>
    </w:p>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đ) Định mức giờ dạy/năm được tính theo quy định tại các văn bản quy định tại Khoản 1 Điều 2 của Thông tư liên tịch này. Cụ thể như sau:</w:t>
      </w:r>
    </w:p>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 Định mức giờ dạy/năm của giáo viên mầm non = (Số giờ dạy trẻ học 2 buổi/ngày) x (Số ngày làm việc/tuần) x (Số tuần dạy trẻ/năm học);</w:t>
      </w:r>
    </w:p>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 Định mức giờ dạy/năm của hiệu trưởng, phó hiệu trưởng cơ sở giáo dục mầm non = (Số giờ trực tiếp tham gia các hoạt động giáo dục/tuần của hiệu trưởng, phó hiệu trưởng) x (Số tuần dạy trẻ/năm học);</w:t>
      </w:r>
    </w:p>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 Định mức giờ dạy/năm của giáo viên phổ thông; giáo viên giảng dạy trình độ sơ cấp nghề = [Định mức tiết dạy (tiêu chuẩn giờ giảng)/tuần] x (Số tuần dành cho giảng dạy và các hoạt động giáo dục/năm học);</w:t>
      </w:r>
    </w:p>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 Định mức giờ dạy/năm của hiệu trưởng, phó hiệu trưởng; giáo viên làm Tổng phụ trách Đội Thiếu niên tiền phong Hồ Chí Minh (gọi tắt là Tổng phụ trách); giáo viên là cán bộ Đoàn Thanh niên Cộng sản Hồ Chí Minh, Hội Liên hiệp Thanh niên Việt Nam (gọi tắt là cán bộ Đoàn, Hội) ở cơ sở giáo dục phổ thông = (Định mức tiết dạy/tuần của hiệu trưởng, phó hiệu trưởng; giáo viên làm Tổng phụ trách; cán bộ Đoàn, Hội) x (Số tuần dành cho giảng dạy và các hoạt động giáo dục/năm học);</w:t>
      </w:r>
    </w:p>
    <w:p w:rsidR="00680EB7" w:rsidRPr="00680EB7" w:rsidRDefault="00680EB7" w:rsidP="00680EB7">
      <w:pPr>
        <w:shd w:val="clear" w:color="auto" w:fill="FFFFFF"/>
        <w:spacing w:after="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 Định mức giờ dạy/năm của cán bộ quản lý cơ sở dạy nghề là tiêu chuẩn giờ giảng tối thiểu quy định tại </w:t>
      </w:r>
      <w:bookmarkStart w:id="18" w:name="dc_13"/>
      <w:r w:rsidRPr="00680EB7">
        <w:rPr>
          <w:rFonts w:ascii="Times New Roman" w:eastAsia="Times New Roman" w:hAnsi="Times New Roman" w:cs="Times New Roman"/>
          <w:color w:val="000000"/>
          <w:sz w:val="28"/>
          <w:szCs w:val="28"/>
          <w:lang w:val="vi-VN"/>
        </w:rPr>
        <w:t>Điểm b Khoản 3 Mục II và Điểm b Khoản 3 Mục III của Thông tư số 09/2008/TT-BLĐTBXH</w:t>
      </w:r>
      <w:bookmarkEnd w:id="18"/>
      <w:r w:rsidRPr="00680EB7">
        <w:rPr>
          <w:rFonts w:ascii="Times New Roman" w:eastAsia="Times New Roman" w:hAnsi="Times New Roman" w:cs="Times New Roman"/>
          <w:color w:val="000000"/>
          <w:sz w:val="28"/>
          <w:szCs w:val="28"/>
          <w:lang w:val="vi-VN"/>
        </w:rPr>
        <w:t>.</w:t>
      </w:r>
    </w:p>
    <w:p w:rsidR="00680EB7" w:rsidRPr="00680EB7" w:rsidRDefault="00680EB7" w:rsidP="00680EB7">
      <w:pPr>
        <w:shd w:val="clear" w:color="auto" w:fill="FFFFFF"/>
        <w:spacing w:after="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Định mức giờ dạy/năm của cán bộ quản lý trường trung cấp chuyên nghiệp là số giờ giảng dạy quy định tại </w:t>
      </w:r>
      <w:bookmarkStart w:id="19" w:name="dc_14"/>
      <w:r w:rsidRPr="00680EB7">
        <w:rPr>
          <w:rFonts w:ascii="Times New Roman" w:eastAsia="Times New Roman" w:hAnsi="Times New Roman" w:cs="Times New Roman"/>
          <w:color w:val="000000"/>
          <w:sz w:val="28"/>
          <w:szCs w:val="28"/>
          <w:lang w:val="vi-VN"/>
        </w:rPr>
        <w:t>Khoản 2 Điều 8 của Quyết định số 18/2007/QĐ-BGDĐT</w:t>
      </w:r>
      <w:bookmarkEnd w:id="19"/>
      <w:r w:rsidRPr="00680EB7">
        <w:rPr>
          <w:rFonts w:ascii="Times New Roman" w:eastAsia="Times New Roman" w:hAnsi="Times New Roman" w:cs="Times New Roman"/>
          <w:color w:val="000000"/>
          <w:sz w:val="28"/>
          <w:szCs w:val="28"/>
          <w:lang w:val="vi-VN"/>
        </w:rPr>
        <w:t>;</w:t>
      </w:r>
    </w:p>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lastRenderedPageBreak/>
        <w:t>- Định mức giờ dạy/năm của các đối tượng khác do thủ trưởng đơn vị quyết định cho từng năm học theo các văn bản quy định tại các Điểm a, d, đ, e, f, g, h Khoản 1 Điều 2 của Thông tư liên tịch này.</w:t>
      </w:r>
    </w:p>
    <w:p w:rsidR="00680EB7" w:rsidRPr="00680EB7" w:rsidRDefault="00680EB7" w:rsidP="00680EB7">
      <w:pPr>
        <w:shd w:val="clear" w:color="auto" w:fill="FFFFFF"/>
        <w:spacing w:after="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2. Tiền lương làm thêm giờ đối với đối tượng quy định tại Điểm b Khoản 2 Điều 1 của Thông tư liên tịch này thực hiện theo quy định tại Thông tư liên tịch số </w:t>
      </w:r>
      <w:r w:rsidR="002E4469">
        <w:rPr>
          <w:rFonts w:ascii="Times New Roman" w:eastAsia="Times New Roman" w:hAnsi="Times New Roman" w:cs="Times New Roman"/>
          <w:color w:val="000000"/>
          <w:sz w:val="28"/>
          <w:szCs w:val="28"/>
        </w:rPr>
        <w:t xml:space="preserve">08/2005/TTLT-BNV-BTC </w:t>
      </w:r>
      <w:r w:rsidRPr="00680EB7">
        <w:rPr>
          <w:rFonts w:ascii="Times New Roman" w:eastAsia="Times New Roman" w:hAnsi="Times New Roman" w:cs="Times New Roman"/>
          <w:color w:val="000000"/>
          <w:sz w:val="28"/>
          <w:szCs w:val="28"/>
          <w:lang w:val="vi-VN"/>
        </w:rPr>
        <w:t>ngày 05 tháng 01 năm 2005 của Bộ Nội vụ và Bộ Tài chính hướng dẫn thực hiện chế độ trả lương làm việc vào ban đêm, làm thêm giờ đối với cán bộ, công chức, viên chức.</w:t>
      </w:r>
    </w:p>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3. Thủ trưởng các cơ sở giáo dục thường xuyên và Trung tâm kỹ thuật, tổng hợp - hướng nghiệp áp dụng các quy định của Thông tư liên tịch này để thực hiện chế độ trả lương dạy thêm giờ đối với nhà giáo thuộc phạm vi quản lý sau khi có ý kiến thống nhất của cơ quan cấp trên quản lý trực tiếp.</w:t>
      </w:r>
    </w:p>
    <w:p w:rsidR="00680EB7" w:rsidRPr="00680EB7" w:rsidRDefault="00680EB7" w:rsidP="00680EB7">
      <w:pPr>
        <w:shd w:val="clear" w:color="auto" w:fill="FFFFFF"/>
        <w:spacing w:after="0" w:line="234" w:lineRule="atLeast"/>
        <w:rPr>
          <w:rFonts w:ascii="Times New Roman" w:eastAsia="Times New Roman" w:hAnsi="Times New Roman" w:cs="Times New Roman"/>
          <w:color w:val="000000"/>
          <w:sz w:val="28"/>
          <w:szCs w:val="28"/>
        </w:rPr>
      </w:pPr>
      <w:bookmarkStart w:id="20" w:name="dieu_5"/>
      <w:r w:rsidRPr="00680EB7">
        <w:rPr>
          <w:rFonts w:ascii="Times New Roman" w:eastAsia="Times New Roman" w:hAnsi="Times New Roman" w:cs="Times New Roman"/>
          <w:b/>
          <w:bCs/>
          <w:color w:val="000000"/>
          <w:sz w:val="28"/>
          <w:szCs w:val="28"/>
          <w:lang w:val="vi-VN"/>
        </w:rPr>
        <w:t>Điều 5. Nguồn kinh phí</w:t>
      </w:r>
      <w:bookmarkEnd w:id="20"/>
    </w:p>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1. Đối với các cơ sở giáo dục công lập được ngân sách nhà nước đảm bảo toàn bộ kinh phí hoạt động thường xuyên: Kinh phí thực hiện chế độ trả lương dạy thêm giờ do ngân sách nhà nước bảo đảm và giao trong dự toán ngân sách hàng năm của cơ sở giáo dục theo phân cấp quản lý ngân sách nhà nước hiện hành.</w:t>
      </w:r>
    </w:p>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2. Đối với các cơ sở giáo dục công lập tự đảm bảo một phần kinh phí hoạt động thường xuyên: Kinh phí thực hiện chế độ trả lương dạy thêm giờ được đảm bảo từ nguồn thu sự nghiệp của đơn vị và từ nguồn ngân sách nhà nước cấp theo phân cấp quản lý ngân sách nhà nước hiện hành.</w:t>
      </w:r>
    </w:p>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3. Đối với các cơ sở giáo dục công lập tự đảm bảo toàn bộ kinh phí hoạt động thường xuyên: Kinh phí thực hiện chế độ trả lương dạy thêm giờ được đảm bảo từ các nguồn thu tự đảm bảo kinh phí hoạt động của đơn vị.</w:t>
      </w:r>
    </w:p>
    <w:p w:rsidR="00680EB7" w:rsidRPr="00680EB7" w:rsidRDefault="00680EB7" w:rsidP="00680EB7">
      <w:pPr>
        <w:shd w:val="clear" w:color="auto" w:fill="FFFFFF"/>
        <w:spacing w:after="0" w:line="234" w:lineRule="atLeast"/>
        <w:rPr>
          <w:rFonts w:ascii="Times New Roman" w:eastAsia="Times New Roman" w:hAnsi="Times New Roman" w:cs="Times New Roman"/>
          <w:color w:val="000000"/>
          <w:sz w:val="28"/>
          <w:szCs w:val="28"/>
        </w:rPr>
      </w:pPr>
      <w:bookmarkStart w:id="21" w:name="dieu_6"/>
      <w:r w:rsidRPr="00680EB7">
        <w:rPr>
          <w:rFonts w:ascii="Times New Roman" w:eastAsia="Times New Roman" w:hAnsi="Times New Roman" w:cs="Times New Roman"/>
          <w:b/>
          <w:bCs/>
          <w:color w:val="000000"/>
          <w:sz w:val="28"/>
          <w:szCs w:val="28"/>
          <w:lang w:val="vi-VN"/>
        </w:rPr>
        <w:t>Điều 6. Điều khoản thi hành</w:t>
      </w:r>
      <w:bookmarkEnd w:id="21"/>
    </w:p>
    <w:p w:rsidR="00680EB7" w:rsidRPr="00680EB7" w:rsidRDefault="00680EB7" w:rsidP="00680EB7">
      <w:pPr>
        <w:shd w:val="clear" w:color="auto" w:fill="FFFFFF"/>
        <w:spacing w:after="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1. Thông tư liên tịch này có hiệu lực kể từ ngày 22 tháng 04 năm 2013 và thay thế Thông tư liên tịch số </w:t>
      </w:r>
      <w:r w:rsidR="002E4469">
        <w:rPr>
          <w:rFonts w:ascii="Times New Roman" w:eastAsia="Times New Roman" w:hAnsi="Times New Roman" w:cs="Times New Roman"/>
          <w:color w:val="000000"/>
          <w:sz w:val="28"/>
          <w:szCs w:val="28"/>
        </w:rPr>
        <w:t xml:space="preserve">50/2008/TTLT-BGDĐT-BNV-BTC </w:t>
      </w:r>
      <w:bookmarkStart w:id="22" w:name="_GoBack"/>
      <w:bookmarkEnd w:id="22"/>
      <w:r w:rsidRPr="00680EB7">
        <w:rPr>
          <w:rFonts w:ascii="Times New Roman" w:eastAsia="Times New Roman" w:hAnsi="Times New Roman" w:cs="Times New Roman"/>
          <w:color w:val="000000"/>
          <w:sz w:val="28"/>
          <w:szCs w:val="28"/>
          <w:lang w:val="vi-VN"/>
        </w:rPr>
        <w:t>ngày 09 tháng 9 năm 2008 của Bộ Giáo dục và Đào tạo, Bộ Nội vụ, Bộ Tài chính hướng dẫn thực hiện chế độ trả lương dạy thêm giờ đối với nhà giáo trong các cơ sở giáo dục công lập.</w:t>
      </w:r>
    </w:p>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t>2. Trong quá trình thực hiện nếu có khó khăn, vướng mắc, các Bộ, ngành, địa phương phản ánh về Bộ Giáo dục và Đào tạo để phối hợp với Bộ Nội vụ và Bộ Tài chính nghiên cứu, giải quyết./.</w:t>
      </w:r>
    </w:p>
    <w:p w:rsidR="00680EB7" w:rsidRPr="00680EB7" w:rsidRDefault="00680EB7" w:rsidP="00680EB7">
      <w:pPr>
        <w:shd w:val="clear" w:color="auto" w:fill="FFFFFF"/>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lang w:val="vi-VN"/>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01"/>
        <w:gridCol w:w="1517"/>
        <w:gridCol w:w="1050"/>
        <w:gridCol w:w="3368"/>
      </w:tblGrid>
      <w:tr w:rsidR="00680EB7" w:rsidRPr="00680EB7" w:rsidTr="00680EB7">
        <w:trPr>
          <w:tblCellSpacing w:w="0" w:type="dxa"/>
        </w:trPr>
        <w:tc>
          <w:tcPr>
            <w:tcW w:w="2901" w:type="dxa"/>
            <w:shd w:val="clear" w:color="auto" w:fill="FFFFFF"/>
            <w:tcMar>
              <w:top w:w="0" w:type="dxa"/>
              <w:left w:w="108" w:type="dxa"/>
              <w:bottom w:w="0" w:type="dxa"/>
              <w:right w:w="108" w:type="dxa"/>
            </w:tcMar>
            <w:hideMark/>
          </w:tcPr>
          <w:p w:rsidR="00680EB7" w:rsidRPr="00680EB7" w:rsidRDefault="00680EB7" w:rsidP="00680EB7">
            <w:pPr>
              <w:spacing w:before="120" w:after="120" w:line="234" w:lineRule="atLeast"/>
              <w:jc w:val="center"/>
              <w:rPr>
                <w:rFonts w:ascii="Times New Roman" w:eastAsia="Times New Roman" w:hAnsi="Times New Roman" w:cs="Times New Roman"/>
                <w:color w:val="000000"/>
                <w:sz w:val="28"/>
                <w:szCs w:val="28"/>
              </w:rPr>
            </w:pPr>
            <w:r w:rsidRPr="00680EB7">
              <w:rPr>
                <w:rFonts w:ascii="Times New Roman" w:eastAsia="Times New Roman" w:hAnsi="Times New Roman" w:cs="Times New Roman"/>
                <w:b/>
                <w:bCs/>
                <w:color w:val="000000"/>
                <w:sz w:val="28"/>
                <w:szCs w:val="28"/>
              </w:rPr>
              <w:t>KT. BỘ TRƯỞNG</w:t>
            </w:r>
            <w:r w:rsidRPr="00680EB7">
              <w:rPr>
                <w:rFonts w:ascii="Times New Roman" w:eastAsia="Times New Roman" w:hAnsi="Times New Roman" w:cs="Times New Roman"/>
                <w:b/>
                <w:bCs/>
                <w:color w:val="000000"/>
                <w:sz w:val="28"/>
                <w:szCs w:val="28"/>
              </w:rPr>
              <w:br/>
              <w:t>BỘ TÀI CHÍNH</w:t>
            </w:r>
            <w:r w:rsidRPr="00680EB7">
              <w:rPr>
                <w:rFonts w:ascii="Times New Roman" w:eastAsia="Times New Roman" w:hAnsi="Times New Roman" w:cs="Times New Roman"/>
                <w:b/>
                <w:bCs/>
                <w:color w:val="000000"/>
                <w:sz w:val="28"/>
                <w:szCs w:val="28"/>
              </w:rPr>
              <w:br/>
              <w:t>THỨ TRƯỞNG</w:t>
            </w:r>
            <w:r w:rsidRPr="00680EB7">
              <w:rPr>
                <w:rFonts w:ascii="Times New Roman" w:eastAsia="Times New Roman" w:hAnsi="Times New Roman" w:cs="Times New Roman"/>
                <w:b/>
                <w:bCs/>
                <w:color w:val="000000"/>
                <w:sz w:val="28"/>
                <w:szCs w:val="28"/>
              </w:rPr>
              <w:br/>
            </w:r>
            <w:r w:rsidRPr="00680EB7">
              <w:rPr>
                <w:rFonts w:ascii="Times New Roman" w:eastAsia="Times New Roman" w:hAnsi="Times New Roman" w:cs="Times New Roman"/>
                <w:b/>
                <w:bCs/>
                <w:color w:val="000000"/>
                <w:sz w:val="28"/>
                <w:szCs w:val="28"/>
              </w:rPr>
              <w:br/>
            </w:r>
            <w:r w:rsidRPr="00680EB7">
              <w:rPr>
                <w:rFonts w:ascii="Times New Roman" w:eastAsia="Times New Roman" w:hAnsi="Times New Roman" w:cs="Times New Roman"/>
                <w:b/>
                <w:bCs/>
                <w:color w:val="000000"/>
                <w:sz w:val="28"/>
                <w:szCs w:val="28"/>
              </w:rPr>
              <w:br/>
            </w:r>
            <w:r w:rsidRPr="00680EB7">
              <w:rPr>
                <w:rFonts w:ascii="Times New Roman" w:eastAsia="Times New Roman" w:hAnsi="Times New Roman" w:cs="Times New Roman"/>
                <w:b/>
                <w:bCs/>
                <w:color w:val="000000"/>
                <w:sz w:val="28"/>
                <w:szCs w:val="28"/>
              </w:rPr>
              <w:br/>
            </w:r>
            <w:r w:rsidRPr="00680EB7">
              <w:rPr>
                <w:rFonts w:ascii="Times New Roman" w:eastAsia="Times New Roman" w:hAnsi="Times New Roman" w:cs="Times New Roman"/>
                <w:b/>
                <w:bCs/>
                <w:color w:val="000000"/>
                <w:sz w:val="28"/>
                <w:szCs w:val="28"/>
              </w:rPr>
              <w:br/>
              <w:t>Nguyễn Thị Minh</w:t>
            </w:r>
          </w:p>
        </w:tc>
        <w:tc>
          <w:tcPr>
            <w:tcW w:w="2565" w:type="dxa"/>
            <w:gridSpan w:val="2"/>
            <w:shd w:val="clear" w:color="auto" w:fill="FFFFFF"/>
            <w:tcMar>
              <w:top w:w="0" w:type="dxa"/>
              <w:left w:w="108" w:type="dxa"/>
              <w:bottom w:w="0" w:type="dxa"/>
              <w:right w:w="108" w:type="dxa"/>
            </w:tcMar>
            <w:hideMark/>
          </w:tcPr>
          <w:p w:rsidR="00680EB7" w:rsidRPr="00680EB7" w:rsidRDefault="00680EB7" w:rsidP="00680EB7">
            <w:pPr>
              <w:spacing w:before="120" w:after="120" w:line="234" w:lineRule="atLeast"/>
              <w:jc w:val="center"/>
              <w:rPr>
                <w:rFonts w:ascii="Times New Roman" w:eastAsia="Times New Roman" w:hAnsi="Times New Roman" w:cs="Times New Roman"/>
                <w:color w:val="000000"/>
                <w:sz w:val="28"/>
                <w:szCs w:val="28"/>
              </w:rPr>
            </w:pPr>
            <w:r w:rsidRPr="00680EB7">
              <w:rPr>
                <w:rFonts w:ascii="Times New Roman" w:eastAsia="Times New Roman" w:hAnsi="Times New Roman" w:cs="Times New Roman"/>
                <w:b/>
                <w:bCs/>
                <w:color w:val="000000"/>
                <w:sz w:val="28"/>
                <w:szCs w:val="28"/>
              </w:rPr>
              <w:t>KT. BỘ TRƯỞNG</w:t>
            </w:r>
            <w:r w:rsidRPr="00680EB7">
              <w:rPr>
                <w:rFonts w:ascii="Times New Roman" w:eastAsia="Times New Roman" w:hAnsi="Times New Roman" w:cs="Times New Roman"/>
                <w:b/>
                <w:bCs/>
                <w:color w:val="000000"/>
                <w:sz w:val="28"/>
                <w:szCs w:val="28"/>
              </w:rPr>
              <w:br/>
              <w:t>BỘ NỘI VỤ</w:t>
            </w:r>
            <w:r w:rsidRPr="00680EB7">
              <w:rPr>
                <w:rFonts w:ascii="Times New Roman" w:eastAsia="Times New Roman" w:hAnsi="Times New Roman" w:cs="Times New Roman"/>
                <w:b/>
                <w:bCs/>
                <w:color w:val="000000"/>
                <w:sz w:val="28"/>
                <w:szCs w:val="28"/>
              </w:rPr>
              <w:br/>
              <w:t>THỨ TRƯỞNG</w:t>
            </w:r>
            <w:r w:rsidRPr="00680EB7">
              <w:rPr>
                <w:rFonts w:ascii="Times New Roman" w:eastAsia="Times New Roman" w:hAnsi="Times New Roman" w:cs="Times New Roman"/>
                <w:b/>
                <w:bCs/>
                <w:color w:val="000000"/>
                <w:sz w:val="28"/>
                <w:szCs w:val="28"/>
              </w:rPr>
              <w:br/>
            </w:r>
            <w:r w:rsidRPr="00680EB7">
              <w:rPr>
                <w:rFonts w:ascii="Times New Roman" w:eastAsia="Times New Roman" w:hAnsi="Times New Roman" w:cs="Times New Roman"/>
                <w:b/>
                <w:bCs/>
                <w:color w:val="000000"/>
                <w:sz w:val="28"/>
                <w:szCs w:val="28"/>
              </w:rPr>
              <w:br/>
            </w:r>
            <w:r w:rsidRPr="00680EB7">
              <w:rPr>
                <w:rFonts w:ascii="Times New Roman" w:eastAsia="Times New Roman" w:hAnsi="Times New Roman" w:cs="Times New Roman"/>
                <w:b/>
                <w:bCs/>
                <w:color w:val="000000"/>
                <w:sz w:val="28"/>
                <w:szCs w:val="28"/>
              </w:rPr>
              <w:br/>
            </w:r>
            <w:r w:rsidRPr="00680EB7">
              <w:rPr>
                <w:rFonts w:ascii="Times New Roman" w:eastAsia="Times New Roman" w:hAnsi="Times New Roman" w:cs="Times New Roman"/>
                <w:b/>
                <w:bCs/>
                <w:color w:val="000000"/>
                <w:sz w:val="28"/>
                <w:szCs w:val="28"/>
              </w:rPr>
              <w:br/>
            </w:r>
            <w:r w:rsidRPr="00680EB7">
              <w:rPr>
                <w:rFonts w:ascii="Times New Roman" w:eastAsia="Times New Roman" w:hAnsi="Times New Roman" w:cs="Times New Roman"/>
                <w:b/>
                <w:bCs/>
                <w:color w:val="000000"/>
                <w:sz w:val="28"/>
                <w:szCs w:val="28"/>
              </w:rPr>
              <w:br/>
              <w:t>Nguyễn Duy Thăng</w:t>
            </w:r>
          </w:p>
        </w:tc>
        <w:tc>
          <w:tcPr>
            <w:tcW w:w="3368" w:type="dxa"/>
            <w:shd w:val="clear" w:color="auto" w:fill="FFFFFF"/>
            <w:tcMar>
              <w:top w:w="0" w:type="dxa"/>
              <w:left w:w="108" w:type="dxa"/>
              <w:bottom w:w="0" w:type="dxa"/>
              <w:right w:w="108" w:type="dxa"/>
            </w:tcMar>
            <w:hideMark/>
          </w:tcPr>
          <w:p w:rsidR="00680EB7" w:rsidRPr="00680EB7" w:rsidRDefault="00680EB7" w:rsidP="00680EB7">
            <w:pPr>
              <w:spacing w:before="120" w:after="120" w:line="234" w:lineRule="atLeast"/>
              <w:jc w:val="center"/>
              <w:rPr>
                <w:rFonts w:ascii="Times New Roman" w:eastAsia="Times New Roman" w:hAnsi="Times New Roman" w:cs="Times New Roman"/>
                <w:color w:val="000000"/>
                <w:sz w:val="28"/>
                <w:szCs w:val="28"/>
              </w:rPr>
            </w:pPr>
            <w:r w:rsidRPr="00680EB7">
              <w:rPr>
                <w:rFonts w:ascii="Times New Roman" w:eastAsia="Times New Roman" w:hAnsi="Times New Roman" w:cs="Times New Roman"/>
                <w:b/>
                <w:bCs/>
                <w:color w:val="000000"/>
                <w:sz w:val="28"/>
                <w:szCs w:val="28"/>
              </w:rPr>
              <w:t>KT. BỘ TRƯỞNG</w:t>
            </w:r>
            <w:r w:rsidRPr="00680EB7">
              <w:rPr>
                <w:rFonts w:ascii="Times New Roman" w:eastAsia="Times New Roman" w:hAnsi="Times New Roman" w:cs="Times New Roman"/>
                <w:b/>
                <w:bCs/>
                <w:color w:val="000000"/>
                <w:sz w:val="28"/>
                <w:szCs w:val="28"/>
              </w:rPr>
              <w:br/>
              <w:t>BỘ GIÁO DỤC VÀ ĐÀO TẠO</w:t>
            </w:r>
            <w:r w:rsidRPr="00680EB7">
              <w:rPr>
                <w:rFonts w:ascii="Times New Roman" w:eastAsia="Times New Roman" w:hAnsi="Times New Roman" w:cs="Times New Roman"/>
                <w:b/>
                <w:bCs/>
                <w:color w:val="000000"/>
                <w:sz w:val="28"/>
                <w:szCs w:val="28"/>
              </w:rPr>
              <w:br/>
              <w:t>THỨ TRƯỞNG</w:t>
            </w:r>
            <w:r w:rsidRPr="00680EB7">
              <w:rPr>
                <w:rFonts w:ascii="Times New Roman" w:eastAsia="Times New Roman" w:hAnsi="Times New Roman" w:cs="Times New Roman"/>
                <w:b/>
                <w:bCs/>
                <w:color w:val="000000"/>
                <w:sz w:val="28"/>
                <w:szCs w:val="28"/>
              </w:rPr>
              <w:br/>
            </w:r>
            <w:r w:rsidRPr="00680EB7">
              <w:rPr>
                <w:rFonts w:ascii="Times New Roman" w:eastAsia="Times New Roman" w:hAnsi="Times New Roman" w:cs="Times New Roman"/>
                <w:b/>
                <w:bCs/>
                <w:color w:val="000000"/>
                <w:sz w:val="28"/>
                <w:szCs w:val="28"/>
              </w:rPr>
              <w:br/>
            </w:r>
            <w:r w:rsidRPr="00680EB7">
              <w:rPr>
                <w:rFonts w:ascii="Times New Roman" w:eastAsia="Times New Roman" w:hAnsi="Times New Roman" w:cs="Times New Roman"/>
                <w:b/>
                <w:bCs/>
                <w:color w:val="000000"/>
                <w:sz w:val="28"/>
                <w:szCs w:val="28"/>
              </w:rPr>
              <w:br/>
            </w:r>
            <w:r w:rsidRPr="00680EB7">
              <w:rPr>
                <w:rFonts w:ascii="Times New Roman" w:eastAsia="Times New Roman" w:hAnsi="Times New Roman" w:cs="Times New Roman"/>
                <w:b/>
                <w:bCs/>
                <w:color w:val="000000"/>
                <w:sz w:val="28"/>
                <w:szCs w:val="28"/>
              </w:rPr>
              <w:br/>
            </w:r>
            <w:r w:rsidRPr="00680EB7">
              <w:rPr>
                <w:rFonts w:ascii="Times New Roman" w:eastAsia="Times New Roman" w:hAnsi="Times New Roman" w:cs="Times New Roman"/>
                <w:b/>
                <w:bCs/>
                <w:color w:val="000000"/>
                <w:sz w:val="28"/>
                <w:szCs w:val="28"/>
              </w:rPr>
              <w:br/>
              <w:t>Nguyễn Vinh Hiển</w:t>
            </w:r>
          </w:p>
        </w:tc>
      </w:tr>
      <w:tr w:rsidR="00680EB7" w:rsidRPr="00680EB7" w:rsidTr="00680EB7">
        <w:trPr>
          <w:tblCellSpacing w:w="0" w:type="dxa"/>
        </w:trPr>
        <w:tc>
          <w:tcPr>
            <w:tcW w:w="4418" w:type="dxa"/>
            <w:gridSpan w:val="2"/>
            <w:shd w:val="clear" w:color="auto" w:fill="FFFFFF"/>
            <w:tcMar>
              <w:top w:w="0" w:type="dxa"/>
              <w:left w:w="108" w:type="dxa"/>
              <w:bottom w:w="0" w:type="dxa"/>
              <w:right w:w="108" w:type="dxa"/>
            </w:tcMar>
            <w:hideMark/>
          </w:tcPr>
          <w:p w:rsidR="00680EB7" w:rsidRPr="00680EB7" w:rsidRDefault="00680EB7" w:rsidP="00680EB7">
            <w:pPr>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b/>
                <w:bCs/>
                <w:i/>
                <w:iCs/>
                <w:color w:val="000000"/>
                <w:sz w:val="28"/>
                <w:szCs w:val="28"/>
              </w:rPr>
              <w:t> </w:t>
            </w:r>
          </w:p>
          <w:p w:rsidR="00680EB7" w:rsidRPr="00680EB7" w:rsidRDefault="00680EB7" w:rsidP="00680EB7">
            <w:pPr>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b/>
                <w:bCs/>
                <w:i/>
                <w:iCs/>
                <w:color w:val="000000"/>
                <w:sz w:val="28"/>
                <w:szCs w:val="28"/>
              </w:rPr>
              <w:t>Nơi nhận:</w:t>
            </w:r>
            <w:r w:rsidRPr="00680EB7">
              <w:rPr>
                <w:rFonts w:ascii="Times New Roman" w:eastAsia="Times New Roman" w:hAnsi="Times New Roman" w:cs="Times New Roman"/>
                <w:b/>
                <w:bCs/>
                <w:i/>
                <w:iCs/>
                <w:color w:val="000000"/>
                <w:sz w:val="28"/>
                <w:szCs w:val="28"/>
              </w:rPr>
              <w:br/>
            </w:r>
            <w:r w:rsidRPr="00680EB7">
              <w:rPr>
                <w:rFonts w:ascii="Times New Roman" w:eastAsia="Times New Roman" w:hAnsi="Times New Roman" w:cs="Times New Roman"/>
                <w:color w:val="000000"/>
                <w:sz w:val="28"/>
                <w:szCs w:val="28"/>
              </w:rPr>
              <w:t>- Ban Bí thư Trung ương Đảng;</w:t>
            </w:r>
            <w:r w:rsidRPr="00680EB7">
              <w:rPr>
                <w:rFonts w:ascii="Times New Roman" w:eastAsia="Times New Roman" w:hAnsi="Times New Roman" w:cs="Times New Roman"/>
                <w:color w:val="000000"/>
                <w:sz w:val="28"/>
                <w:szCs w:val="28"/>
              </w:rPr>
              <w:br/>
              <w:t>- Thủ tướng Chính phủ;</w:t>
            </w:r>
            <w:r w:rsidRPr="00680EB7">
              <w:rPr>
                <w:rFonts w:ascii="Times New Roman" w:eastAsia="Times New Roman" w:hAnsi="Times New Roman" w:cs="Times New Roman"/>
                <w:color w:val="000000"/>
                <w:sz w:val="28"/>
                <w:szCs w:val="28"/>
              </w:rPr>
              <w:br/>
              <w:t>- Các Phó Thủ tướng Chính phủ;</w:t>
            </w:r>
            <w:r w:rsidRPr="00680EB7">
              <w:rPr>
                <w:rFonts w:ascii="Times New Roman" w:eastAsia="Times New Roman" w:hAnsi="Times New Roman" w:cs="Times New Roman"/>
                <w:color w:val="000000"/>
                <w:sz w:val="28"/>
                <w:szCs w:val="28"/>
              </w:rPr>
              <w:br/>
              <w:t>- Các Bộ, cơ quan ngang Bộ, cơ quan thuộc CP;</w:t>
            </w:r>
            <w:r w:rsidRPr="00680EB7">
              <w:rPr>
                <w:rFonts w:ascii="Times New Roman" w:eastAsia="Times New Roman" w:hAnsi="Times New Roman" w:cs="Times New Roman"/>
                <w:color w:val="000000"/>
                <w:sz w:val="28"/>
                <w:szCs w:val="28"/>
              </w:rPr>
              <w:br/>
              <w:t>- VP BCĐTW về phòng chống tham nhũng;</w:t>
            </w:r>
            <w:r w:rsidRPr="00680EB7">
              <w:rPr>
                <w:rFonts w:ascii="Times New Roman" w:eastAsia="Times New Roman" w:hAnsi="Times New Roman" w:cs="Times New Roman"/>
                <w:color w:val="000000"/>
                <w:sz w:val="28"/>
                <w:szCs w:val="28"/>
              </w:rPr>
              <w:br/>
              <w:t>- HĐND, UBND các tỉnh, TP trực thuộc TW;</w:t>
            </w:r>
            <w:r w:rsidRPr="00680EB7">
              <w:rPr>
                <w:rFonts w:ascii="Times New Roman" w:eastAsia="Times New Roman" w:hAnsi="Times New Roman" w:cs="Times New Roman"/>
                <w:color w:val="000000"/>
                <w:sz w:val="28"/>
                <w:szCs w:val="28"/>
              </w:rPr>
              <w:br/>
              <w:t>- Văn phòng Quốc hội;</w:t>
            </w:r>
            <w:r w:rsidRPr="00680EB7">
              <w:rPr>
                <w:rFonts w:ascii="Times New Roman" w:eastAsia="Times New Roman" w:hAnsi="Times New Roman" w:cs="Times New Roman"/>
                <w:color w:val="000000"/>
                <w:sz w:val="28"/>
                <w:szCs w:val="28"/>
              </w:rPr>
              <w:br/>
              <w:t>- Văn phòng TW và các Ban của Đảng;</w:t>
            </w:r>
            <w:r w:rsidRPr="00680EB7">
              <w:rPr>
                <w:rFonts w:ascii="Times New Roman" w:eastAsia="Times New Roman" w:hAnsi="Times New Roman" w:cs="Times New Roman"/>
                <w:color w:val="000000"/>
                <w:sz w:val="28"/>
                <w:szCs w:val="28"/>
              </w:rPr>
              <w:br/>
              <w:t>- Văn phòng Chủ tịch nước;</w:t>
            </w:r>
            <w:r w:rsidRPr="00680EB7">
              <w:rPr>
                <w:rFonts w:ascii="Times New Roman" w:eastAsia="Times New Roman" w:hAnsi="Times New Roman" w:cs="Times New Roman"/>
                <w:color w:val="000000"/>
                <w:sz w:val="28"/>
                <w:szCs w:val="28"/>
              </w:rPr>
              <w:br/>
              <w:t>- Văn phòng Tổng Bí thư;</w:t>
            </w:r>
            <w:r w:rsidRPr="00680EB7">
              <w:rPr>
                <w:rFonts w:ascii="Times New Roman" w:eastAsia="Times New Roman" w:hAnsi="Times New Roman" w:cs="Times New Roman"/>
                <w:color w:val="000000"/>
                <w:sz w:val="28"/>
                <w:szCs w:val="28"/>
              </w:rPr>
              <w:br/>
              <w:t>- Hội đồng Dân tộc và các Ủy ban của Quốc hội;</w:t>
            </w:r>
            <w:r w:rsidRPr="00680EB7">
              <w:rPr>
                <w:rFonts w:ascii="Times New Roman" w:eastAsia="Times New Roman" w:hAnsi="Times New Roman" w:cs="Times New Roman"/>
                <w:color w:val="000000"/>
                <w:sz w:val="28"/>
                <w:szCs w:val="28"/>
              </w:rPr>
              <w:br/>
              <w:t>- Viện KSNDTC, TANDTC;</w:t>
            </w:r>
            <w:r w:rsidRPr="00680EB7">
              <w:rPr>
                <w:rFonts w:ascii="Times New Roman" w:eastAsia="Times New Roman" w:hAnsi="Times New Roman" w:cs="Times New Roman"/>
                <w:color w:val="000000"/>
                <w:sz w:val="28"/>
                <w:szCs w:val="28"/>
              </w:rPr>
              <w:br/>
              <w:t>- Kiểm toán Nhà nước;</w:t>
            </w:r>
            <w:r w:rsidRPr="00680EB7">
              <w:rPr>
                <w:rFonts w:ascii="Times New Roman" w:eastAsia="Times New Roman" w:hAnsi="Times New Roman" w:cs="Times New Roman"/>
                <w:color w:val="000000"/>
                <w:sz w:val="28"/>
                <w:szCs w:val="28"/>
              </w:rPr>
              <w:br/>
              <w:t>- Ngân hàng Chính sách xã hội;</w:t>
            </w:r>
            <w:r w:rsidRPr="00680EB7">
              <w:rPr>
                <w:rFonts w:ascii="Times New Roman" w:eastAsia="Times New Roman" w:hAnsi="Times New Roman" w:cs="Times New Roman"/>
                <w:color w:val="000000"/>
                <w:sz w:val="28"/>
                <w:szCs w:val="28"/>
              </w:rPr>
              <w:br/>
              <w:t>- Ngân hàng Phát triển Việt Nam;</w:t>
            </w:r>
            <w:r w:rsidRPr="00680EB7">
              <w:rPr>
                <w:rFonts w:ascii="Times New Roman" w:eastAsia="Times New Roman" w:hAnsi="Times New Roman" w:cs="Times New Roman"/>
                <w:color w:val="000000"/>
                <w:sz w:val="28"/>
                <w:szCs w:val="28"/>
              </w:rPr>
              <w:br/>
              <w:t>- UB Trung ương MTTQ Việt Nam;</w:t>
            </w:r>
            <w:r w:rsidRPr="00680EB7">
              <w:rPr>
                <w:rFonts w:ascii="Times New Roman" w:eastAsia="Times New Roman" w:hAnsi="Times New Roman" w:cs="Times New Roman"/>
                <w:color w:val="000000"/>
                <w:sz w:val="28"/>
                <w:szCs w:val="28"/>
              </w:rPr>
              <w:br/>
            </w:r>
            <w:r w:rsidRPr="00680EB7">
              <w:rPr>
                <w:rFonts w:ascii="Times New Roman" w:eastAsia="Times New Roman" w:hAnsi="Times New Roman" w:cs="Times New Roman"/>
                <w:color w:val="000000"/>
                <w:sz w:val="28"/>
                <w:szCs w:val="28"/>
              </w:rPr>
              <w:lastRenderedPageBreak/>
              <w:t>- Cơ quan Trung ương của các đoàn thể;</w:t>
            </w:r>
            <w:r w:rsidRPr="00680EB7">
              <w:rPr>
                <w:rFonts w:ascii="Times New Roman" w:eastAsia="Times New Roman" w:hAnsi="Times New Roman" w:cs="Times New Roman"/>
                <w:color w:val="000000"/>
                <w:sz w:val="28"/>
                <w:szCs w:val="28"/>
              </w:rPr>
              <w:br/>
              <w:t>- VPCP, BTCN, các PCN, cổng TTĐT;</w:t>
            </w:r>
            <w:r w:rsidRPr="00680EB7">
              <w:rPr>
                <w:rFonts w:ascii="Times New Roman" w:eastAsia="Times New Roman" w:hAnsi="Times New Roman" w:cs="Times New Roman"/>
                <w:color w:val="000000"/>
                <w:sz w:val="28"/>
                <w:szCs w:val="28"/>
              </w:rPr>
              <w:br/>
              <w:t>- Các Vụ, Cục, đơn vị trực thuộc; Công báo;</w:t>
            </w:r>
            <w:r w:rsidRPr="00680EB7">
              <w:rPr>
                <w:rFonts w:ascii="Times New Roman" w:eastAsia="Times New Roman" w:hAnsi="Times New Roman" w:cs="Times New Roman"/>
                <w:color w:val="000000"/>
                <w:sz w:val="28"/>
                <w:szCs w:val="28"/>
              </w:rPr>
              <w:br/>
              <w:t>- Lưu: Bộ GDĐT (VT, Vụ TCCB), Bộ NV (VT, Vụ TL), Bộ TC (VT, Vụ PC).</w:t>
            </w:r>
          </w:p>
        </w:tc>
        <w:tc>
          <w:tcPr>
            <w:tcW w:w="4416" w:type="dxa"/>
            <w:gridSpan w:val="2"/>
            <w:shd w:val="clear" w:color="auto" w:fill="FFFFFF"/>
            <w:tcMar>
              <w:top w:w="0" w:type="dxa"/>
              <w:left w:w="108" w:type="dxa"/>
              <w:bottom w:w="0" w:type="dxa"/>
              <w:right w:w="108" w:type="dxa"/>
            </w:tcMar>
            <w:hideMark/>
          </w:tcPr>
          <w:p w:rsidR="00680EB7" w:rsidRPr="00680EB7" w:rsidRDefault="00680EB7" w:rsidP="00680EB7">
            <w:pPr>
              <w:spacing w:before="120" w:after="120" w:line="234" w:lineRule="atLeast"/>
              <w:jc w:val="center"/>
              <w:rPr>
                <w:rFonts w:ascii="Times New Roman" w:eastAsia="Times New Roman" w:hAnsi="Times New Roman" w:cs="Times New Roman"/>
                <w:color w:val="000000"/>
                <w:sz w:val="28"/>
                <w:szCs w:val="28"/>
              </w:rPr>
            </w:pPr>
            <w:r w:rsidRPr="00680EB7">
              <w:rPr>
                <w:rFonts w:ascii="Times New Roman" w:eastAsia="Times New Roman" w:hAnsi="Times New Roman" w:cs="Times New Roman"/>
                <w:b/>
                <w:bCs/>
                <w:color w:val="000000"/>
                <w:sz w:val="28"/>
                <w:szCs w:val="28"/>
              </w:rPr>
              <w:lastRenderedPageBreak/>
              <w:t> </w:t>
            </w:r>
          </w:p>
        </w:tc>
      </w:tr>
      <w:tr w:rsidR="00680EB7" w:rsidRPr="00680EB7" w:rsidTr="00680EB7">
        <w:trPr>
          <w:tblCellSpacing w:w="0" w:type="dxa"/>
        </w:trPr>
        <w:tc>
          <w:tcPr>
            <w:tcW w:w="2895" w:type="dxa"/>
            <w:shd w:val="clear" w:color="auto" w:fill="FFFFFF"/>
            <w:vAlign w:val="center"/>
            <w:hideMark/>
          </w:tcPr>
          <w:p w:rsidR="00680EB7" w:rsidRPr="00680EB7" w:rsidRDefault="00680EB7" w:rsidP="00680EB7">
            <w:pPr>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rPr>
              <w:lastRenderedPageBreak/>
              <w:t> </w:t>
            </w:r>
          </w:p>
        </w:tc>
        <w:tc>
          <w:tcPr>
            <w:tcW w:w="1515" w:type="dxa"/>
            <w:shd w:val="clear" w:color="auto" w:fill="FFFFFF"/>
            <w:vAlign w:val="center"/>
            <w:hideMark/>
          </w:tcPr>
          <w:p w:rsidR="00680EB7" w:rsidRPr="00680EB7" w:rsidRDefault="00680EB7" w:rsidP="00680EB7">
            <w:pPr>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rPr>
              <w:t> </w:t>
            </w:r>
          </w:p>
        </w:tc>
        <w:tc>
          <w:tcPr>
            <w:tcW w:w="1050" w:type="dxa"/>
            <w:shd w:val="clear" w:color="auto" w:fill="FFFFFF"/>
            <w:vAlign w:val="center"/>
            <w:hideMark/>
          </w:tcPr>
          <w:p w:rsidR="00680EB7" w:rsidRPr="00680EB7" w:rsidRDefault="00680EB7" w:rsidP="00680EB7">
            <w:pPr>
              <w:spacing w:before="120" w:after="120" w:line="234" w:lineRule="atLeast"/>
              <w:rPr>
                <w:rFonts w:ascii="Times New Roman" w:eastAsia="Times New Roman" w:hAnsi="Times New Roman" w:cs="Times New Roman"/>
                <w:color w:val="000000"/>
                <w:sz w:val="28"/>
                <w:szCs w:val="28"/>
              </w:rPr>
            </w:pPr>
            <w:r w:rsidRPr="00680EB7">
              <w:rPr>
                <w:rFonts w:ascii="Times New Roman" w:eastAsia="Times New Roman" w:hAnsi="Times New Roman" w:cs="Times New Roman"/>
                <w:color w:val="000000"/>
                <w:sz w:val="28"/>
                <w:szCs w:val="28"/>
              </w:rPr>
              <w:t> </w:t>
            </w:r>
          </w:p>
        </w:tc>
        <w:tc>
          <w:tcPr>
            <w:tcW w:w="0" w:type="auto"/>
            <w:shd w:val="clear" w:color="auto" w:fill="FFFFFF"/>
            <w:vAlign w:val="center"/>
            <w:hideMark/>
          </w:tcPr>
          <w:p w:rsidR="00680EB7" w:rsidRPr="00680EB7" w:rsidRDefault="00680EB7" w:rsidP="00680EB7">
            <w:pPr>
              <w:spacing w:after="0" w:line="240" w:lineRule="auto"/>
              <w:rPr>
                <w:rFonts w:ascii="Times New Roman" w:eastAsia="Times New Roman" w:hAnsi="Times New Roman" w:cs="Times New Roman"/>
                <w:sz w:val="28"/>
                <w:szCs w:val="28"/>
              </w:rPr>
            </w:pPr>
          </w:p>
        </w:tc>
      </w:tr>
    </w:tbl>
    <w:p w:rsidR="00FA289C" w:rsidRPr="00680EB7" w:rsidRDefault="00FA289C">
      <w:pPr>
        <w:rPr>
          <w:rFonts w:ascii="Times New Roman" w:hAnsi="Times New Roman" w:cs="Times New Roman"/>
          <w:sz w:val="28"/>
          <w:szCs w:val="28"/>
        </w:rPr>
      </w:pPr>
    </w:p>
    <w:sectPr w:rsidR="00FA289C" w:rsidRPr="00680EB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1AF" w:rsidRDefault="00FB21AF" w:rsidP="00680EB7">
      <w:pPr>
        <w:spacing w:after="0" w:line="240" w:lineRule="auto"/>
      </w:pPr>
      <w:r>
        <w:separator/>
      </w:r>
    </w:p>
  </w:endnote>
  <w:endnote w:type="continuationSeparator" w:id="0">
    <w:p w:rsidR="00FB21AF" w:rsidRDefault="00FB21AF" w:rsidP="00680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EB7" w:rsidRPr="00A74D2B" w:rsidRDefault="00680EB7" w:rsidP="00680EB7">
    <w:pPr>
      <w:pStyle w:val="Header"/>
      <w:jc w:val="center"/>
      <w:rPr>
        <w:rFonts w:ascii="Arial" w:hAnsi="Arial" w:cs="Arial"/>
        <w:b/>
        <w:color w:val="0070C0"/>
        <w:sz w:val="24"/>
        <w:szCs w:val="24"/>
      </w:rPr>
    </w:pPr>
    <w:r w:rsidRPr="00A74D2B">
      <w:rPr>
        <w:rFonts w:ascii="Arial" w:hAnsi="Arial" w:cs="Arial"/>
        <w:b/>
        <w:color w:val="0070C0"/>
        <w:sz w:val="24"/>
        <w:szCs w:val="24"/>
      </w:rPr>
      <w:t>Công ty Luật TNHH Sao Việt</w:t>
    </w:r>
  </w:p>
  <w:p w:rsidR="00680EB7" w:rsidRPr="00A74D2B" w:rsidRDefault="00680EB7" w:rsidP="00680EB7">
    <w:pPr>
      <w:pStyle w:val="Header"/>
      <w:jc w:val="center"/>
      <w:rPr>
        <w:rFonts w:ascii="Arial" w:hAnsi="Arial" w:cs="Arial"/>
        <w:i/>
        <w:color w:val="0070C0"/>
        <w:sz w:val="24"/>
        <w:szCs w:val="24"/>
      </w:rPr>
    </w:pPr>
    <w:r w:rsidRPr="00A74D2B">
      <w:rPr>
        <w:rFonts w:ascii="Arial" w:hAnsi="Arial" w:cs="Arial"/>
        <w:i/>
        <w:color w:val="0070C0"/>
        <w:sz w:val="24"/>
        <w:szCs w:val="24"/>
      </w:rPr>
      <w:t>“Sự bảo hộ hoàn hảo trong mọi quan hệ pháp luật”</w:t>
    </w:r>
  </w:p>
  <w:p w:rsidR="00680EB7" w:rsidRPr="00A74D2B" w:rsidRDefault="00680EB7" w:rsidP="00680EB7">
    <w:pPr>
      <w:pStyle w:val="Header"/>
      <w:jc w:val="center"/>
      <w:rPr>
        <w:rFonts w:ascii="Arial" w:hAnsi="Arial" w:cs="Arial"/>
        <w:color w:val="FF0000"/>
        <w:sz w:val="24"/>
        <w:szCs w:val="24"/>
      </w:rPr>
    </w:pPr>
    <w:r w:rsidRPr="00A74D2B">
      <w:rPr>
        <w:rFonts w:ascii="Arial" w:hAnsi="Arial" w:cs="Arial"/>
        <w:color w:val="FF0000"/>
        <w:sz w:val="24"/>
        <w:szCs w:val="24"/>
      </w:rPr>
      <w:t>Web: saovietlaw.com/ Tổng đài 1900 6243</w:t>
    </w:r>
  </w:p>
  <w:p w:rsidR="00680EB7" w:rsidRPr="00A74D2B" w:rsidRDefault="00680EB7" w:rsidP="00680EB7">
    <w:pPr>
      <w:tabs>
        <w:tab w:val="left" w:pos="3780"/>
      </w:tabs>
      <w:rPr>
        <w:rFonts w:ascii="Arial" w:hAnsi="Arial" w:cs="Arial"/>
        <w:sz w:val="24"/>
        <w:szCs w:val="24"/>
      </w:rPr>
    </w:pPr>
    <w:r w:rsidRPr="00A74D2B">
      <w:rPr>
        <w:rFonts w:ascii="Arial" w:hAnsi="Arial" w:cs="Arial"/>
        <w:sz w:val="24"/>
        <w:szCs w:val="24"/>
      </w:rPr>
      <w:t xml:space="preserve">                </w:t>
    </w:r>
    <w:r>
      <w:rPr>
        <w:rFonts w:ascii="Arial" w:hAnsi="Arial" w:cs="Arial"/>
        <w:sz w:val="24"/>
        <w:szCs w:val="24"/>
      </w:rPr>
      <w:tab/>
    </w:r>
  </w:p>
  <w:p w:rsidR="00680EB7" w:rsidRDefault="00680EB7" w:rsidP="00680EB7">
    <w:pPr>
      <w:tabs>
        <w:tab w:val="left" w:pos="5235"/>
        <w:tab w:val="left" w:pos="5655"/>
      </w:tabs>
      <w:rPr>
        <w:rFonts w:cs="Times New Roman"/>
        <w:sz w:val="24"/>
        <w:szCs w:val="24"/>
      </w:rPr>
    </w:pPr>
    <w:r>
      <w:rPr>
        <w:rFonts w:cs="Times New Roman"/>
        <w:sz w:val="24"/>
        <w:szCs w:val="24"/>
      </w:rPr>
      <w:t xml:space="preserve">             </w:t>
    </w:r>
  </w:p>
  <w:p w:rsidR="00680EB7" w:rsidRDefault="00680EB7">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E4469">
      <w:rPr>
        <w:caps/>
        <w:noProof/>
        <w:color w:val="5B9BD5" w:themeColor="accent1"/>
      </w:rPr>
      <w:t>1</w:t>
    </w:r>
    <w:r>
      <w:rPr>
        <w:caps/>
        <w:noProof/>
        <w:color w:val="5B9BD5" w:themeColor="accent1"/>
      </w:rPr>
      <w:fldChar w:fldCharType="end"/>
    </w:r>
  </w:p>
  <w:p w:rsidR="00680EB7" w:rsidRDefault="00680E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1AF" w:rsidRDefault="00FB21AF" w:rsidP="00680EB7">
      <w:pPr>
        <w:spacing w:after="0" w:line="240" w:lineRule="auto"/>
      </w:pPr>
      <w:r>
        <w:separator/>
      </w:r>
    </w:p>
  </w:footnote>
  <w:footnote w:type="continuationSeparator" w:id="0">
    <w:p w:rsidR="00FB21AF" w:rsidRDefault="00FB21AF" w:rsidP="00680E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B7"/>
    <w:rsid w:val="00267BB9"/>
    <w:rsid w:val="002E4469"/>
    <w:rsid w:val="00680EB7"/>
    <w:rsid w:val="008C1779"/>
    <w:rsid w:val="00FA289C"/>
    <w:rsid w:val="00FB2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4F109-3CA3-4831-B39C-599A608E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0E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0EB7"/>
    <w:rPr>
      <w:color w:val="0000FF"/>
      <w:u w:val="single"/>
    </w:rPr>
  </w:style>
  <w:style w:type="paragraph" w:styleId="Header">
    <w:name w:val="header"/>
    <w:basedOn w:val="Normal"/>
    <w:link w:val="HeaderChar"/>
    <w:uiPriority w:val="99"/>
    <w:unhideWhenUsed/>
    <w:rsid w:val="00680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EB7"/>
  </w:style>
  <w:style w:type="paragraph" w:styleId="Footer">
    <w:name w:val="footer"/>
    <w:basedOn w:val="Normal"/>
    <w:link w:val="FooterChar"/>
    <w:uiPriority w:val="99"/>
    <w:unhideWhenUsed/>
    <w:rsid w:val="00680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34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2267</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15165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2</cp:revision>
  <dcterms:created xsi:type="dcterms:W3CDTF">2019-08-17T01:26:00Z</dcterms:created>
  <dcterms:modified xsi:type="dcterms:W3CDTF">2019-08-17T01:26:00Z</dcterms:modified>
</cp:coreProperties>
</file>